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35435" w14:textId="77777777" w:rsidR="005B7079" w:rsidRPr="001E1C11" w:rsidRDefault="001E1C11" w:rsidP="001E1C11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1E1C11">
        <w:rPr>
          <w:rFonts w:ascii="TimesNewRomanPSMT" w:hAnsi="TimesNewRomanPSMT" w:cs="TimesNewRomanPSMT"/>
          <w:b/>
          <w:sz w:val="28"/>
          <w:szCs w:val="28"/>
        </w:rPr>
        <w:t xml:space="preserve">A Pécsi Tudományegyetem Közgazdaságtudományi Kara Tudományos Diákkörének </w:t>
      </w:r>
      <w:r w:rsidR="00667951">
        <w:rPr>
          <w:rFonts w:ascii="TimesNewRomanPSMT" w:hAnsi="TimesNewRomanPSMT" w:cs="TimesNewRomanPSMT"/>
          <w:b/>
          <w:sz w:val="28"/>
          <w:szCs w:val="28"/>
        </w:rPr>
        <w:t xml:space="preserve">Szervezeti és </w:t>
      </w:r>
      <w:r w:rsidRPr="001E1C11">
        <w:rPr>
          <w:rFonts w:ascii="TimesNewRomanPSMT" w:hAnsi="TimesNewRomanPSMT" w:cs="TimesNewRomanPSMT"/>
          <w:b/>
          <w:sz w:val="28"/>
          <w:szCs w:val="28"/>
        </w:rPr>
        <w:t>Működési Szabályzata</w:t>
      </w:r>
    </w:p>
    <w:p w14:paraId="27027FE0" w14:textId="77777777" w:rsidR="001E1C11" w:rsidRDefault="001E1C11" w:rsidP="001E1C11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14:paraId="25F0695A" w14:textId="77777777" w:rsidR="001E1C11" w:rsidRDefault="001E1C11" w:rsidP="001E1C11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14:paraId="13066549" w14:textId="77777777" w:rsidR="00377901" w:rsidRPr="001E1C11" w:rsidRDefault="00377901" w:rsidP="001E1C11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14:paraId="77684ED9" w14:textId="77777777" w:rsidR="005B7079" w:rsidRDefault="001E1C11" w:rsidP="001E1C1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A Tudományos Diákköri tevékenység meghatározása és alapelvei</w:t>
      </w:r>
    </w:p>
    <w:p w14:paraId="77A5D6E9" w14:textId="77777777" w:rsidR="00377901" w:rsidRDefault="00505317" w:rsidP="002C356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1. §</w:t>
      </w:r>
    </w:p>
    <w:p w14:paraId="3032A10E" w14:textId="77777777" w:rsidR="002C3563" w:rsidRDefault="002C3563" w:rsidP="002C3563">
      <w:pPr>
        <w:autoSpaceDE w:val="0"/>
        <w:autoSpaceDN w:val="0"/>
        <w:adjustRightInd w:val="0"/>
        <w:jc w:val="center"/>
        <w:rPr>
          <w:b/>
          <w:bCs/>
        </w:rPr>
      </w:pPr>
    </w:p>
    <w:p w14:paraId="21596C08" w14:textId="77777777" w:rsidR="00CB07D8" w:rsidRPr="00CB07D8" w:rsidRDefault="00505317" w:rsidP="003D0BAB">
      <w:pPr>
        <w:jc w:val="both"/>
        <w:rPr>
          <w:rStyle w:val="apple-style-span"/>
          <w:b/>
          <w:color w:val="000000"/>
        </w:rPr>
      </w:pPr>
      <w:r>
        <w:rPr>
          <w:rStyle w:val="apple-style-span"/>
          <w:b/>
          <w:color w:val="000000"/>
        </w:rPr>
        <w:t>(1)</w:t>
      </w:r>
    </w:p>
    <w:p w14:paraId="7E922F7E" w14:textId="77777777" w:rsidR="00F35848" w:rsidRDefault="001E1C11" w:rsidP="003D0BAB">
      <w:pPr>
        <w:jc w:val="both"/>
        <w:rPr>
          <w:rStyle w:val="apple-style-span"/>
          <w:color w:val="000000"/>
        </w:rPr>
      </w:pPr>
      <w:r w:rsidRPr="001E1C11">
        <w:rPr>
          <w:rStyle w:val="apple-style-span"/>
          <w:color w:val="000000"/>
        </w:rPr>
        <w:t xml:space="preserve">A </w:t>
      </w:r>
      <w:r>
        <w:rPr>
          <w:rStyle w:val="apple-style-span"/>
          <w:color w:val="000000"/>
        </w:rPr>
        <w:t xml:space="preserve">Tudományos Diákkör (a továbbiakban </w:t>
      </w:r>
      <w:r w:rsidRPr="001E1C11">
        <w:rPr>
          <w:rStyle w:val="apple-style-span"/>
          <w:color w:val="000000"/>
        </w:rPr>
        <w:t>TDK</w:t>
      </w:r>
      <w:r>
        <w:rPr>
          <w:rStyle w:val="apple-style-span"/>
          <w:color w:val="000000"/>
        </w:rPr>
        <w:t>)</w:t>
      </w:r>
      <w:r w:rsidR="00BD161F">
        <w:rPr>
          <w:rStyle w:val="apple-style-span"/>
          <w:color w:val="000000"/>
        </w:rPr>
        <w:t xml:space="preserve"> a </w:t>
      </w:r>
      <w:r w:rsidR="003D0BAB">
        <w:rPr>
          <w:rStyle w:val="apple-style-span"/>
          <w:color w:val="000000"/>
        </w:rPr>
        <w:t xml:space="preserve">felsőoktatási intézményekben, így a </w:t>
      </w:r>
      <w:r w:rsidR="00BD161F">
        <w:rPr>
          <w:rStyle w:val="apple-style-span"/>
          <w:color w:val="000000"/>
        </w:rPr>
        <w:t xml:space="preserve">Pécsi Tudományegyetem Közgazdaságtudományi Karán (a továbbiakban PTE KTK) folyó oktató, nevelő és </w:t>
      </w:r>
      <w:r w:rsidRPr="001E1C11">
        <w:rPr>
          <w:rStyle w:val="apple-style-span"/>
          <w:color w:val="000000"/>
        </w:rPr>
        <w:t>kutató</w:t>
      </w:r>
      <w:r w:rsidR="00BD161F">
        <w:rPr>
          <w:rStyle w:val="apple-style-span"/>
          <w:color w:val="000000"/>
        </w:rPr>
        <w:t>i munka</w:t>
      </w:r>
      <w:r w:rsidRPr="001E1C11">
        <w:rPr>
          <w:rStyle w:val="apple-style-span"/>
          <w:color w:val="000000"/>
        </w:rPr>
        <w:t xml:space="preserve"> sajátos</w:t>
      </w:r>
      <w:r w:rsidR="00BD161F">
        <w:rPr>
          <w:rStyle w:val="apple-style-span"/>
          <w:color w:val="000000"/>
        </w:rPr>
        <w:t xml:space="preserve"> </w:t>
      </w:r>
      <w:r w:rsidR="003D0BAB">
        <w:rPr>
          <w:rStyle w:val="apple-style-span"/>
          <w:color w:val="000000"/>
        </w:rPr>
        <w:t>területe</w:t>
      </w:r>
      <w:r w:rsidR="009945AE">
        <w:rPr>
          <w:rStyle w:val="apple-style-span"/>
          <w:color w:val="000000"/>
        </w:rPr>
        <w:t xml:space="preserve"> és egysége</w:t>
      </w:r>
      <w:r w:rsidR="003D0BAB">
        <w:rPr>
          <w:rStyle w:val="apple-style-span"/>
          <w:color w:val="000000"/>
        </w:rPr>
        <w:t xml:space="preserve">. </w:t>
      </w:r>
      <w:r w:rsidR="00F35848">
        <w:rPr>
          <w:rStyle w:val="apple-style-span"/>
          <w:color w:val="000000"/>
        </w:rPr>
        <w:t>Alapvető céljai:</w:t>
      </w:r>
    </w:p>
    <w:p w14:paraId="4934E4A4" w14:textId="77777777" w:rsidR="00F35848" w:rsidRDefault="00F35848" w:rsidP="0061667F">
      <w:pPr>
        <w:numPr>
          <w:ilvl w:val="0"/>
          <w:numId w:val="1"/>
        </w:numPr>
        <w:jc w:val="both"/>
      </w:pPr>
      <w:r>
        <w:t xml:space="preserve">A hallgatók megismertetése a tudományos kutatómunkában rejlő intellektuális szépség élményével, ezen keresztül szakmai elkötelezettségük növelése. A közgazdasági ténykedés hivatásszerű, alkotó, értelmiségi módon való művelésére történő nevelés. </w:t>
      </w:r>
    </w:p>
    <w:p w14:paraId="0D3448C3" w14:textId="77777777" w:rsidR="00F35848" w:rsidRDefault="00F35848" w:rsidP="00F35848">
      <w:pPr>
        <w:numPr>
          <w:ilvl w:val="0"/>
          <w:numId w:val="1"/>
        </w:numPr>
        <w:jc w:val="both"/>
      </w:pPr>
      <w:r>
        <w:t>Tehetségkutatás, tehetséggondozás, a kutatás iránt érdeklődő hallgatók számának gyarapítása, tudományos tevékenységének ösztönzése, segítése, kreatív energiáik kanalizálása.</w:t>
      </w:r>
    </w:p>
    <w:p w14:paraId="29D82ADF" w14:textId="77777777" w:rsidR="00F35848" w:rsidRDefault="00F35848" w:rsidP="00F35848">
      <w:pPr>
        <w:numPr>
          <w:ilvl w:val="0"/>
          <w:numId w:val="1"/>
        </w:numPr>
        <w:jc w:val="both"/>
      </w:pPr>
      <w:r>
        <w:t>Az aktív hallgatók kutatói szerepr</w:t>
      </w:r>
      <w:r w:rsidR="00363428">
        <w:t xml:space="preserve">e, tudományos karrierre való </w:t>
      </w:r>
      <w:r>
        <w:t>szocializációja, pályára állítása, tevékenységük integrálásának megkezdés</w:t>
      </w:r>
      <w:r w:rsidR="00086ADA">
        <w:t>e a magyar tudományos közéletbe és/vagy gazdasági gyakorlatba.</w:t>
      </w:r>
    </w:p>
    <w:p w14:paraId="64F1722B" w14:textId="77777777" w:rsidR="00F35848" w:rsidRDefault="00F35848" w:rsidP="00F35848">
      <w:pPr>
        <w:numPr>
          <w:ilvl w:val="0"/>
          <w:numId w:val="1"/>
        </w:numPr>
        <w:jc w:val="both"/>
      </w:pPr>
      <w:r>
        <w:t>A legújabb tudományos eredmények megismertetése és a jelenkori tudomány nagyjaival való (lehetőleg személyes) találkozások elősegítése.</w:t>
      </w:r>
    </w:p>
    <w:p w14:paraId="1DB5CE90" w14:textId="77777777" w:rsidR="00F35848" w:rsidRDefault="00F35848" w:rsidP="00F35848">
      <w:pPr>
        <w:numPr>
          <w:ilvl w:val="0"/>
          <w:numId w:val="1"/>
        </w:numPr>
        <w:jc w:val="both"/>
      </w:pPr>
      <w:r>
        <w:t>A tudományos eredmények gyakorlati hasznosítására való orientáció, szemléletmód fejlesztése.</w:t>
      </w:r>
    </w:p>
    <w:p w14:paraId="62C23637" w14:textId="77777777" w:rsidR="00F35848" w:rsidRDefault="00F35848" w:rsidP="003D0BAB">
      <w:pPr>
        <w:numPr>
          <w:ilvl w:val="0"/>
          <w:numId w:val="1"/>
        </w:numPr>
        <w:jc w:val="both"/>
      </w:pPr>
      <w:r>
        <w:t>Módszerességre nevelés, a kutatómunka metodológiai fogásainak, a tudományos párbeszéd szabályainak megismertetése.</w:t>
      </w:r>
    </w:p>
    <w:p w14:paraId="4FA6B5E5" w14:textId="77777777" w:rsidR="00215872" w:rsidRPr="00215872" w:rsidRDefault="00F35848" w:rsidP="003D0BAB">
      <w:pPr>
        <w:numPr>
          <w:ilvl w:val="0"/>
          <w:numId w:val="1"/>
        </w:numPr>
        <w:jc w:val="both"/>
        <w:rPr>
          <w:rStyle w:val="apple-style-span"/>
        </w:rPr>
      </w:pPr>
      <w:r>
        <w:rPr>
          <w:rStyle w:val="apple-style-span"/>
          <w:color w:val="000000"/>
        </w:rPr>
        <w:t>Általában véve k</w:t>
      </w:r>
      <w:r w:rsidR="00BD161F">
        <w:rPr>
          <w:rStyle w:val="apple-style-span"/>
          <w:color w:val="000000"/>
        </w:rPr>
        <w:t>eretek</w:t>
      </w:r>
      <w:r>
        <w:rPr>
          <w:rStyle w:val="apple-style-span"/>
          <w:color w:val="000000"/>
        </w:rPr>
        <w:t>, feltételek megteremtése</w:t>
      </w:r>
      <w:r w:rsidR="001E1C11" w:rsidRPr="001E1C11">
        <w:rPr>
          <w:rStyle w:val="apple-style-span"/>
          <w:color w:val="000000"/>
        </w:rPr>
        <w:t xml:space="preserve"> az átlagot meghaladó képességű hallgatók önkéntes</w:t>
      </w:r>
      <w:r w:rsidR="009945AE">
        <w:rPr>
          <w:rStyle w:val="apple-style-span"/>
          <w:color w:val="000000"/>
        </w:rPr>
        <w:t xml:space="preserve"> (önképzőköri jellegű)</w:t>
      </w:r>
      <w:r w:rsidR="001E1C11" w:rsidRPr="001E1C11">
        <w:rPr>
          <w:rStyle w:val="apple-style-span"/>
          <w:color w:val="000000"/>
        </w:rPr>
        <w:t xml:space="preserve">, a kötelező tananyagot meghaladó ismeretszerzésére, a kutatómunkába történő bekapcsolódására, </w:t>
      </w:r>
      <w:r w:rsidR="009945AE">
        <w:rPr>
          <w:rStyle w:val="apple-style-span"/>
          <w:color w:val="000000"/>
        </w:rPr>
        <w:t>szakmai nyilvánosság biztosítása</w:t>
      </w:r>
      <w:r w:rsidR="00086ADA">
        <w:rPr>
          <w:rStyle w:val="apple-style-span"/>
          <w:color w:val="000000"/>
        </w:rPr>
        <w:t xml:space="preserve"> az </w:t>
      </w:r>
      <w:r w:rsidR="001E1C11" w:rsidRPr="001E1C11">
        <w:rPr>
          <w:rStyle w:val="apple-style-span"/>
          <w:color w:val="000000"/>
        </w:rPr>
        <w:t xml:space="preserve">ilyen tevékenységükből származó </w:t>
      </w:r>
      <w:r w:rsidR="00BD161F">
        <w:rPr>
          <w:rStyle w:val="apple-style-span"/>
          <w:color w:val="000000"/>
        </w:rPr>
        <w:t xml:space="preserve">elméleti és gyakorlatban hasznosítható </w:t>
      </w:r>
      <w:r w:rsidR="001E1C11" w:rsidRPr="001E1C11">
        <w:rPr>
          <w:rStyle w:val="apple-style-span"/>
          <w:color w:val="000000"/>
        </w:rPr>
        <w:t>eredménye</w:t>
      </w:r>
      <w:r w:rsidR="009945AE">
        <w:rPr>
          <w:rStyle w:val="apple-style-span"/>
          <w:color w:val="000000"/>
        </w:rPr>
        <w:t>ik</w:t>
      </w:r>
      <w:r w:rsidR="00215872">
        <w:rPr>
          <w:rStyle w:val="apple-style-span"/>
          <w:color w:val="000000"/>
        </w:rPr>
        <w:t xml:space="preserve"> publikációjához és</w:t>
      </w:r>
      <w:r w:rsidR="009945AE">
        <w:rPr>
          <w:rStyle w:val="apple-style-span"/>
          <w:color w:val="000000"/>
        </w:rPr>
        <w:t xml:space="preserve"> megítéléséhez.</w:t>
      </w:r>
    </w:p>
    <w:p w14:paraId="499CEAD5" w14:textId="77777777" w:rsidR="00215872" w:rsidRDefault="00215872" w:rsidP="00215872">
      <w:pPr>
        <w:jc w:val="both"/>
        <w:rPr>
          <w:rStyle w:val="apple-style-span"/>
          <w:color w:val="000000"/>
        </w:rPr>
      </w:pPr>
    </w:p>
    <w:p w14:paraId="23E9C2A6" w14:textId="77777777" w:rsidR="00CB07D8" w:rsidRPr="00CB07D8" w:rsidRDefault="00505317" w:rsidP="009F04BF">
      <w:pPr>
        <w:autoSpaceDE w:val="0"/>
        <w:autoSpaceDN w:val="0"/>
        <w:adjustRightInd w:val="0"/>
        <w:jc w:val="both"/>
        <w:rPr>
          <w:rFonts w:eastAsia="ArialNarrow"/>
          <w:b/>
        </w:rPr>
      </w:pPr>
      <w:r>
        <w:rPr>
          <w:rFonts w:eastAsia="ArialNarrow"/>
          <w:b/>
        </w:rPr>
        <w:t>(2)</w:t>
      </w:r>
    </w:p>
    <w:p w14:paraId="59DD28E7" w14:textId="77777777" w:rsidR="00215872" w:rsidRDefault="00215872" w:rsidP="009F04BF">
      <w:pPr>
        <w:autoSpaceDE w:val="0"/>
        <w:autoSpaceDN w:val="0"/>
        <w:adjustRightInd w:val="0"/>
        <w:jc w:val="both"/>
        <w:rPr>
          <w:rFonts w:eastAsia="ArialNarrow"/>
        </w:rPr>
      </w:pPr>
      <w:r>
        <w:rPr>
          <w:rFonts w:eastAsia="ArialNarrow"/>
        </w:rPr>
        <w:t>TDK tevékenysé</w:t>
      </w:r>
      <w:r w:rsidRPr="005B7079">
        <w:rPr>
          <w:rFonts w:eastAsia="ArialNarrow"/>
        </w:rPr>
        <w:t xml:space="preserve">get az </w:t>
      </w:r>
      <w:r>
        <w:rPr>
          <w:rFonts w:eastAsia="ArialNarrow"/>
        </w:rPr>
        <w:t xml:space="preserve">a hallgató végez, aki – tanulmányi kötelezettségeinek teljesítését meghaladóan – hallgatói-oktatói műhelymunka </w:t>
      </w:r>
      <w:r w:rsidR="009F04BF">
        <w:rPr>
          <w:rFonts w:eastAsia="ArialNarrow"/>
        </w:rPr>
        <w:t>során, vagy egyéb módon kifejtett aktivitá</w:t>
      </w:r>
      <w:r w:rsidR="00D73A62">
        <w:rPr>
          <w:rFonts w:eastAsia="ArialNarrow"/>
        </w:rPr>
        <w:t>sá</w:t>
      </w:r>
      <w:r w:rsidR="009F04BF">
        <w:rPr>
          <w:rFonts w:eastAsia="ArialNarrow"/>
        </w:rPr>
        <w:t>nak eredményét dolgozatban, tudományos publikációban, valamint szakmai konferenciákon értékelhető formában foglal</w:t>
      </w:r>
      <w:r w:rsidR="0048076A">
        <w:rPr>
          <w:rFonts w:eastAsia="ArialNarrow"/>
        </w:rPr>
        <w:t>ja össze. A diákköri munka</w:t>
      </w:r>
      <w:r w:rsidR="009F04BF">
        <w:rPr>
          <w:rFonts w:eastAsia="ArialNarrow"/>
        </w:rPr>
        <w:t xml:space="preserve"> a jelen szabályzatban lefektetett elvek, keretek között</w:t>
      </w:r>
      <w:r w:rsidR="0048076A">
        <w:rPr>
          <w:rFonts w:eastAsia="ArialNarrow"/>
        </w:rPr>
        <w:t xml:space="preserve"> végezhető. A TDK tagja lehet a PTE KTK-n tanulmányokat folytató, vagy itt végzett, de az országos versenyen való részvételre jogosultságot szerzett hallgató</w:t>
      </w:r>
      <w:r w:rsidR="009F04BF">
        <w:rPr>
          <w:rFonts w:eastAsia="ArialNarrow"/>
        </w:rPr>
        <w:t>.</w:t>
      </w:r>
    </w:p>
    <w:p w14:paraId="14771484" w14:textId="77777777" w:rsidR="009F04BF" w:rsidRDefault="009F04BF" w:rsidP="009F04BF">
      <w:pPr>
        <w:autoSpaceDE w:val="0"/>
        <w:autoSpaceDN w:val="0"/>
        <w:adjustRightInd w:val="0"/>
        <w:jc w:val="both"/>
        <w:rPr>
          <w:rFonts w:eastAsia="ArialNarrow"/>
        </w:rPr>
      </w:pPr>
    </w:p>
    <w:p w14:paraId="375AC353" w14:textId="77777777" w:rsidR="00CB07D8" w:rsidRPr="00CB07D8" w:rsidRDefault="00505317" w:rsidP="009F04BF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>(3)</w:t>
      </w:r>
    </w:p>
    <w:p w14:paraId="300429E9" w14:textId="77777777" w:rsidR="00331357" w:rsidRDefault="009F04BF" w:rsidP="00B51984">
      <w:pPr>
        <w:autoSpaceDE w:val="0"/>
        <w:autoSpaceDN w:val="0"/>
        <w:adjustRightInd w:val="0"/>
        <w:jc w:val="both"/>
        <w:rPr>
          <w:rFonts w:eastAsia="ArialNarrow"/>
        </w:rPr>
      </w:pPr>
      <w:r>
        <w:rPr>
          <w:rFonts w:ascii="TimesNewRoman" w:hAnsi="TimesNewRoman" w:cs="TimesNewRoman"/>
        </w:rPr>
        <w:t xml:space="preserve">A TDK-ban folyó tevékenység elsősorban a PTE KTK hallgatóinak és oktatóinak együttműködésével valósul meg, azonban a TDK-téma kiválasztásában, a munka irányításában külső szakemberek is részt vehetnek. </w:t>
      </w:r>
      <w:r>
        <w:rPr>
          <w:rFonts w:eastAsia="ArialNarrow"/>
        </w:rPr>
        <w:t>A TDK</w:t>
      </w:r>
      <w:r w:rsidRPr="005B7079">
        <w:rPr>
          <w:rFonts w:eastAsia="ArialNarrow"/>
        </w:rPr>
        <w:t xml:space="preserve"> a</w:t>
      </w:r>
      <w:r>
        <w:rPr>
          <w:rFonts w:eastAsia="ArialNarrow"/>
        </w:rPr>
        <w:t xml:space="preserve"> Kar intézeteihez, tanszékeihez, illetve </w:t>
      </w:r>
      <w:r w:rsidR="00804128">
        <w:rPr>
          <w:rFonts w:eastAsia="ArialNarrow"/>
        </w:rPr>
        <w:t xml:space="preserve">különböző </w:t>
      </w:r>
      <w:r>
        <w:rPr>
          <w:rFonts w:eastAsia="ArialNarrow"/>
        </w:rPr>
        <w:t>tudományterületekhez, valamint szakokhoz kapcsolódóan az oktatók szakmai ú</w:t>
      </w:r>
      <w:r w:rsidR="0048076A">
        <w:rPr>
          <w:rFonts w:eastAsia="ArialNarrow"/>
        </w:rPr>
        <w:t>tmutatásával végzi munkáját</w:t>
      </w:r>
      <w:r>
        <w:rPr>
          <w:rFonts w:eastAsia="ArialNarrow"/>
        </w:rPr>
        <w:t xml:space="preserve">, de igény esetén együttműködhet a PTE </w:t>
      </w:r>
      <w:r>
        <w:rPr>
          <w:rFonts w:ascii="TimesNewRoman" w:hAnsi="TimesNewRoman" w:cs="TimesNewRoman"/>
        </w:rPr>
        <w:t>más tudományos mű</w:t>
      </w:r>
      <w:r w:rsidR="003831BA">
        <w:rPr>
          <w:rFonts w:ascii="TimesNewRoman" w:hAnsi="TimesNewRoman" w:cs="TimesNewRoman"/>
        </w:rPr>
        <w:t>helyeivel,</w:t>
      </w:r>
      <w:r>
        <w:rPr>
          <w:rFonts w:ascii="TimesNewRoman" w:hAnsi="TimesNewRoman" w:cs="TimesNewRoman"/>
        </w:rPr>
        <w:t xml:space="preserve"> tudományos diákköreivel, továbbá </w:t>
      </w:r>
      <w:r w:rsidR="003831BA">
        <w:rPr>
          <w:rFonts w:ascii="TimesNewRoman" w:hAnsi="TimesNewRoman" w:cs="TimesNewRoman"/>
        </w:rPr>
        <w:t xml:space="preserve">egyetemen kívüli </w:t>
      </w:r>
      <w:r w:rsidR="0073179A">
        <w:rPr>
          <w:rFonts w:ascii="TimesNewRoman" w:hAnsi="TimesNewRoman" w:cs="TimesNewRoman"/>
        </w:rPr>
        <w:t xml:space="preserve">(esetleg más egyetemekhez tartozó) </w:t>
      </w:r>
      <w:r>
        <w:rPr>
          <w:rFonts w:ascii="TimesNewRoman" w:hAnsi="TimesNewRoman" w:cs="TimesNewRoman"/>
        </w:rPr>
        <w:t>szakmai, tudományos és gazdálkodó szervezetekkel.</w:t>
      </w:r>
      <w:r w:rsidR="00B51984" w:rsidRPr="00B51984">
        <w:rPr>
          <w:rFonts w:eastAsia="ArialNarrow"/>
        </w:rPr>
        <w:t xml:space="preserve"> </w:t>
      </w:r>
    </w:p>
    <w:p w14:paraId="2AC8928F" w14:textId="77777777" w:rsidR="00331357" w:rsidRDefault="00331357" w:rsidP="00B51984">
      <w:pPr>
        <w:autoSpaceDE w:val="0"/>
        <w:autoSpaceDN w:val="0"/>
        <w:adjustRightInd w:val="0"/>
        <w:jc w:val="both"/>
        <w:rPr>
          <w:rFonts w:eastAsia="ArialNarrow"/>
        </w:rPr>
      </w:pPr>
    </w:p>
    <w:p w14:paraId="6BAB334A" w14:textId="77777777" w:rsidR="00331357" w:rsidRPr="00331357" w:rsidRDefault="00505317" w:rsidP="00B51984">
      <w:pPr>
        <w:autoSpaceDE w:val="0"/>
        <w:autoSpaceDN w:val="0"/>
        <w:adjustRightInd w:val="0"/>
        <w:jc w:val="both"/>
        <w:rPr>
          <w:rFonts w:eastAsia="ArialNarrow"/>
          <w:b/>
        </w:rPr>
      </w:pPr>
      <w:r>
        <w:rPr>
          <w:rFonts w:eastAsia="ArialNarrow"/>
          <w:b/>
        </w:rPr>
        <w:lastRenderedPageBreak/>
        <w:t>(4)</w:t>
      </w:r>
    </w:p>
    <w:p w14:paraId="21DB98B1" w14:textId="77777777" w:rsidR="001E1C11" w:rsidRDefault="00B51984" w:rsidP="00363428">
      <w:pPr>
        <w:autoSpaceDE w:val="0"/>
        <w:autoSpaceDN w:val="0"/>
        <w:adjustRightInd w:val="0"/>
        <w:jc w:val="both"/>
        <w:rPr>
          <w:rFonts w:eastAsia="ArialNarrow"/>
        </w:rPr>
      </w:pPr>
      <w:r>
        <w:rPr>
          <w:rFonts w:eastAsia="ArialNarrow"/>
        </w:rPr>
        <w:t>A PTE KTK sokoldalú támogatás formáj</w:t>
      </w:r>
      <w:r w:rsidR="0054363A">
        <w:rPr>
          <w:rFonts w:eastAsia="ArialNarrow"/>
        </w:rPr>
        <w:t>ában</w:t>
      </w:r>
      <w:r>
        <w:rPr>
          <w:rFonts w:eastAsia="ArialNarrow"/>
        </w:rPr>
        <w:t xml:space="preserve"> gondoskodik a kari TDK működési feltételeiről, a lehetőségek függvényében jutalmazza a legkiválóbb dolgozatok készítőit, elismeri a TDK-ban közreműködő oktatók teljesítményét, elősegíti a kiemelkedő pályamunkák publikálását.</w:t>
      </w:r>
    </w:p>
    <w:p w14:paraId="007D8D0E" w14:textId="77777777" w:rsidR="002C3563" w:rsidRDefault="002C3563" w:rsidP="00363428">
      <w:pPr>
        <w:autoSpaceDE w:val="0"/>
        <w:autoSpaceDN w:val="0"/>
        <w:adjustRightInd w:val="0"/>
        <w:jc w:val="both"/>
      </w:pPr>
    </w:p>
    <w:p w14:paraId="6B9901E3" w14:textId="77777777" w:rsidR="00377901" w:rsidRPr="00F35848" w:rsidRDefault="00377901" w:rsidP="00215872">
      <w:pPr>
        <w:jc w:val="both"/>
      </w:pPr>
    </w:p>
    <w:p w14:paraId="67EA5D52" w14:textId="77777777" w:rsidR="00CB07D8" w:rsidRDefault="00CB07D8" w:rsidP="00CB07D8">
      <w:pPr>
        <w:jc w:val="center"/>
        <w:rPr>
          <w:b/>
        </w:rPr>
      </w:pPr>
      <w:r>
        <w:rPr>
          <w:b/>
        </w:rPr>
        <w:t>A PTE KTK Tudományos Diákkörének szervezete és működési rendje</w:t>
      </w:r>
    </w:p>
    <w:p w14:paraId="250B01E9" w14:textId="77777777" w:rsidR="00377901" w:rsidRDefault="00505317" w:rsidP="00363428">
      <w:pPr>
        <w:autoSpaceDE w:val="0"/>
        <w:autoSpaceDN w:val="0"/>
        <w:adjustRightInd w:val="0"/>
        <w:jc w:val="center"/>
        <w:rPr>
          <w:rFonts w:eastAsia="ArialNarrow"/>
          <w:b/>
        </w:rPr>
      </w:pPr>
      <w:r w:rsidRPr="00505317">
        <w:rPr>
          <w:rFonts w:eastAsia="ArialNarrow"/>
          <w:b/>
        </w:rPr>
        <w:t>2. §</w:t>
      </w:r>
    </w:p>
    <w:p w14:paraId="3255096F" w14:textId="77777777" w:rsidR="002C3563" w:rsidRDefault="002C3563" w:rsidP="00363428">
      <w:pPr>
        <w:autoSpaceDE w:val="0"/>
        <w:autoSpaceDN w:val="0"/>
        <w:adjustRightInd w:val="0"/>
        <w:jc w:val="center"/>
        <w:rPr>
          <w:rFonts w:eastAsia="ArialNarrow"/>
        </w:rPr>
      </w:pPr>
    </w:p>
    <w:p w14:paraId="0357AD3D" w14:textId="77777777" w:rsidR="00CB07D8" w:rsidRPr="009E771E" w:rsidRDefault="00505317" w:rsidP="009E771E">
      <w:pPr>
        <w:jc w:val="both"/>
        <w:rPr>
          <w:b/>
        </w:rPr>
      </w:pPr>
      <w:r>
        <w:rPr>
          <w:b/>
        </w:rPr>
        <w:t>(1)</w:t>
      </w:r>
    </w:p>
    <w:p w14:paraId="559D9C54" w14:textId="77777777" w:rsidR="007E614F" w:rsidRPr="009E771E" w:rsidRDefault="00CB07D8" w:rsidP="009E771E">
      <w:pPr>
        <w:jc w:val="both"/>
      </w:pPr>
      <w:r w:rsidRPr="00DB450F">
        <w:t>A PTE KTK-n a tudomá</w:t>
      </w:r>
      <w:r w:rsidR="00FB3873" w:rsidRPr="00DB450F">
        <w:t>nyos diákköri munka koordinál</w:t>
      </w:r>
      <w:r w:rsidR="00D73A62" w:rsidRPr="00DB450F">
        <w:t>ását a Dékán felügyelete alatt működő</w:t>
      </w:r>
      <w:r w:rsidR="00FB3873" w:rsidRPr="00DB450F">
        <w:t xml:space="preserve"> Kari TDK Bizottság (továbbiakban Bizottság) végzi. A Bizottság elnökét</w:t>
      </w:r>
      <w:r w:rsidR="00651957" w:rsidRPr="00DB450F">
        <w:t xml:space="preserve"> és titkárát</w:t>
      </w:r>
      <w:r w:rsidR="00FB3873" w:rsidRPr="00DB450F">
        <w:t xml:space="preserve"> a Dékán bízza meg</w:t>
      </w:r>
      <w:r w:rsidR="00363428">
        <w:t xml:space="preserve"> 3 évre</w:t>
      </w:r>
      <w:r w:rsidR="00FB3873" w:rsidRPr="00DB450F">
        <w:t>, a megbízás többször is meghosszabbítható. A Bizottság</w:t>
      </w:r>
      <w:r w:rsidR="00651957" w:rsidRPr="00DB450F">
        <w:t xml:space="preserve"> az elnökből, a titkárból és még 5 tagból áll. A Bizottság hallgatói tagja</w:t>
      </w:r>
      <w:r w:rsidR="00FB3873" w:rsidRPr="00DB450F">
        <w:t xml:space="preserve"> a Hallgatói Önkormányzati Testület (HÖT) mindenkori tanulmányi referense. A Bizottság tagjai továbbá a három kari intézet</w:t>
      </w:r>
      <w:r w:rsidR="000618F6" w:rsidRPr="00DB450F">
        <w:t xml:space="preserve"> oktatói közül kijelölt</w:t>
      </w:r>
      <w:r w:rsidR="00FB3873" w:rsidRPr="00DB450F">
        <w:t xml:space="preserve"> TDK-fe</w:t>
      </w:r>
      <w:r w:rsidR="000618F6" w:rsidRPr="00DB450F">
        <w:t>lelősök</w:t>
      </w:r>
      <w:r w:rsidR="00BF6F59" w:rsidRPr="00DB450F">
        <w:t xml:space="preserve"> (akiket az intézetigazgató</w:t>
      </w:r>
      <w:r w:rsidR="000618F6" w:rsidRPr="00DB450F">
        <w:t>k bíz</w:t>
      </w:r>
      <w:r w:rsidR="003A2400" w:rsidRPr="00DB450F">
        <w:t>nak</w:t>
      </w:r>
      <w:r w:rsidR="000618F6" w:rsidRPr="00DB450F">
        <w:t xml:space="preserve"> meg feladatukk</w:t>
      </w:r>
      <w:r w:rsidR="00BF6F59" w:rsidRPr="00DB450F">
        <w:t>al)</w:t>
      </w:r>
      <w:r w:rsidR="00FB3873" w:rsidRPr="00DB450F">
        <w:t xml:space="preserve">, valamint a Karon működő Janus Pannonius Közgazdasági Szakkollégium </w:t>
      </w:r>
      <w:r w:rsidR="00B51984" w:rsidRPr="00DB450F">
        <w:t>diákbizottságának mindenkori tudományos felelőse</w:t>
      </w:r>
      <w:r w:rsidR="00B312B6" w:rsidRPr="00DB450F">
        <w:t xml:space="preserve">. </w:t>
      </w:r>
      <w:r w:rsidR="003A2400" w:rsidRPr="00DB450F">
        <w:t>A Bizottság tagjai külön anyagi ellenszolgáltatás nélkül végzik munkájukat. Mandátumuk</w:t>
      </w:r>
      <w:r w:rsidR="007E614F" w:rsidRPr="00DB450F">
        <w:t xml:space="preserve"> a megbízás lejártáv</w:t>
      </w:r>
      <w:r w:rsidR="00D73A62" w:rsidRPr="00DB450F">
        <w:t>al, tisztújítás miatti rotáció</w:t>
      </w:r>
      <w:r w:rsidR="007E614F" w:rsidRPr="00DB450F">
        <w:t>val, a tag elfogadott lemondásával, valamint visszahívással szűnik meg.</w:t>
      </w:r>
    </w:p>
    <w:p w14:paraId="1A8331F0" w14:textId="77777777" w:rsidR="007E614F" w:rsidRPr="009E771E" w:rsidRDefault="007E614F" w:rsidP="009E771E">
      <w:pPr>
        <w:jc w:val="both"/>
      </w:pPr>
    </w:p>
    <w:p w14:paraId="361F7B7C" w14:textId="77777777" w:rsidR="007E614F" w:rsidRPr="009E771E" w:rsidRDefault="00505317" w:rsidP="009E771E">
      <w:pPr>
        <w:jc w:val="both"/>
        <w:rPr>
          <w:b/>
        </w:rPr>
      </w:pPr>
      <w:r>
        <w:rPr>
          <w:b/>
        </w:rPr>
        <w:t>(2)</w:t>
      </w:r>
    </w:p>
    <w:p w14:paraId="70D11FD5" w14:textId="77777777" w:rsidR="00B51984" w:rsidRDefault="007E614F" w:rsidP="009E771E">
      <w:pPr>
        <w:jc w:val="both"/>
      </w:pPr>
      <w:r w:rsidRPr="009E771E">
        <w:t>A Bizottság indokolt esetben bármikor, de félévente legalább egy alkalommal ülést tart a munkaterv kidolgozása, vagy az idősz</w:t>
      </w:r>
      <w:r w:rsidR="00BE478F">
        <w:t>erű kérdések megoldása céljából</w:t>
      </w:r>
      <w:r w:rsidRPr="009E771E">
        <w:t xml:space="preserve">. </w:t>
      </w:r>
      <w:r w:rsidR="00505317">
        <w:t xml:space="preserve">A Bizottság üléseit az elnök hívja össze szükség szerint, de össze kell hívni az ülést akkor is, ha a tagság legalább 1/3-a ezt kezdeményezi. </w:t>
      </w:r>
      <w:r w:rsidR="00BF6F59" w:rsidRPr="009E771E">
        <w:t xml:space="preserve">A Bizottság akkor határozatképes, hogy ha </w:t>
      </w:r>
      <w:r w:rsidR="00363428">
        <w:t xml:space="preserve">az </w:t>
      </w:r>
      <w:r w:rsidR="00BF6F59" w:rsidRPr="009E771E">
        <w:t>ülésén jelen van az elnök</w:t>
      </w:r>
      <w:r w:rsidR="00674210">
        <w:t xml:space="preserve"> (vagy helyettese, a titkár</w:t>
      </w:r>
      <w:r w:rsidR="00083856">
        <w:t>)</w:t>
      </w:r>
      <w:r w:rsidR="00BF6F59" w:rsidRPr="009E771E">
        <w:t xml:space="preserve">, </w:t>
      </w:r>
      <w:r w:rsidR="00083856">
        <w:t>valamint legalább további</w:t>
      </w:r>
      <w:r w:rsidR="00BF6F59" w:rsidRPr="009E771E">
        <w:t xml:space="preserve"> két tag. A Bizottság egyszerű többséggel dönt a feladatkörébe tartozó kérdésekről. Szavazategyenlőség esetén az elnök szavazata dönt. </w:t>
      </w:r>
    </w:p>
    <w:p w14:paraId="21BF1BC7" w14:textId="77777777" w:rsidR="00083856" w:rsidRDefault="00083856" w:rsidP="009E771E">
      <w:pPr>
        <w:jc w:val="both"/>
      </w:pPr>
    </w:p>
    <w:p w14:paraId="3B995C43" w14:textId="77777777" w:rsidR="00083856" w:rsidRPr="00BA5AC3" w:rsidRDefault="00083856" w:rsidP="009E771E">
      <w:pPr>
        <w:jc w:val="both"/>
        <w:rPr>
          <w:b/>
        </w:rPr>
      </w:pPr>
      <w:r w:rsidRPr="00BA5AC3">
        <w:rPr>
          <w:b/>
        </w:rPr>
        <w:t>(3)</w:t>
      </w:r>
    </w:p>
    <w:p w14:paraId="05754E4F" w14:textId="77777777" w:rsidR="00083856" w:rsidRDefault="00083856" w:rsidP="0061667F">
      <w:pPr>
        <w:numPr>
          <w:ilvl w:val="0"/>
          <w:numId w:val="16"/>
        </w:numPr>
        <w:jc w:val="both"/>
      </w:pPr>
      <w:r>
        <w:t xml:space="preserve">A Bizottság munkáját az elnök koordinálja, távolléte esetén </w:t>
      </w:r>
      <w:r w:rsidR="006C5965">
        <w:t>a titkárt</w:t>
      </w:r>
      <w:r>
        <w:t xml:space="preserve"> bízza meg helyettesítésével. </w:t>
      </w:r>
    </w:p>
    <w:p w14:paraId="0049E99F" w14:textId="77777777" w:rsidR="00BA5AC3" w:rsidRDefault="00BA5AC3" w:rsidP="00BA5AC3">
      <w:pPr>
        <w:numPr>
          <w:ilvl w:val="0"/>
          <w:numId w:val="16"/>
        </w:numPr>
        <w:jc w:val="both"/>
      </w:pPr>
      <w:r w:rsidRPr="009E771E">
        <w:t>A Bizottság elnöke évente</w:t>
      </w:r>
      <w:r>
        <w:t xml:space="preserve"> (</w:t>
      </w:r>
      <w:r w:rsidR="00363428">
        <w:t xml:space="preserve">vagy </w:t>
      </w:r>
      <w:r>
        <w:t>igény szerint többször is)</w:t>
      </w:r>
      <w:r w:rsidRPr="009E771E">
        <w:t xml:space="preserve"> köteles beszámolni a </w:t>
      </w:r>
      <w:r>
        <w:t xml:space="preserve">Dékánnak és/vagy a </w:t>
      </w:r>
      <w:r w:rsidRPr="009E771E">
        <w:t>Kari Tanácsnak a TDK tevékenységéről, valamint a Kar által rendelkezésre bocsátott pénzeszközök felhasználásáról.</w:t>
      </w:r>
    </w:p>
    <w:p w14:paraId="2E941FBA" w14:textId="77777777" w:rsidR="00083856" w:rsidRDefault="00083856" w:rsidP="00083856">
      <w:pPr>
        <w:numPr>
          <w:ilvl w:val="0"/>
          <w:numId w:val="16"/>
        </w:numPr>
        <w:jc w:val="both"/>
      </w:pPr>
      <w:r>
        <w:t xml:space="preserve">A Bizottság titkára </w:t>
      </w:r>
      <w:r w:rsidRPr="006C5965">
        <w:t>szervezési, lebonyolítási</w:t>
      </w:r>
      <w:r w:rsidR="00363428">
        <w:t>, valamint információterjesztésse</w:t>
      </w:r>
      <w:r w:rsidRPr="006C5965">
        <w:t>l kapcsolatos feladatokat lát el az elnök</w:t>
      </w:r>
      <w:r w:rsidR="0052533C" w:rsidRPr="006C5965">
        <w:t xml:space="preserve"> utasításait követve. </w:t>
      </w:r>
      <w:r w:rsidR="00363428">
        <w:t xml:space="preserve">A titkár gondozza a TDK archívumát. </w:t>
      </w:r>
      <w:r w:rsidR="0052533C" w:rsidRPr="006C5965">
        <w:t>Beszámolási kötelezettséggel az elnöknek (vagy helyettesének) tartozik.</w:t>
      </w:r>
      <w:r w:rsidR="006C5965" w:rsidRPr="006C5965">
        <w:t xml:space="preserve"> E munkát a Hallgatói Önkormányzati Testület (HÖT) mindenkori tanulmányi referense is segíti.</w:t>
      </w:r>
    </w:p>
    <w:p w14:paraId="0391E76F" w14:textId="77777777" w:rsidR="0052533C" w:rsidRDefault="0052533C" w:rsidP="00083856">
      <w:pPr>
        <w:numPr>
          <w:ilvl w:val="0"/>
          <w:numId w:val="16"/>
        </w:numPr>
        <w:jc w:val="both"/>
      </w:pPr>
      <w:r>
        <w:t>Az intézeti TDK felelősök operatív feladatok ellátását végzik az egyes intézeteken belül. Felelősek a témaajánlatok biztosításáért, az intézet oktatói és a TDK munkát végző hallgatók közötti munkakapcsolat gondozásáért, valamint a TDK tevékenységgel kapcsolatos információk intézeti tagokhoz való eljuttatásáért</w:t>
      </w:r>
      <w:r w:rsidR="00C51D21">
        <w:t xml:space="preserve">. Részt vesznek a kari Tudományos Diákköri Konferencia megszervezésében, </w:t>
      </w:r>
      <w:r w:rsidR="008465FB">
        <w:t xml:space="preserve">szükség esetén </w:t>
      </w:r>
      <w:r w:rsidR="00C51D21">
        <w:t xml:space="preserve">gondoskodnak az intézet által művelt tudományterület témájában íródott dolgozatok </w:t>
      </w:r>
      <w:r w:rsidR="004F5332">
        <w:t xml:space="preserve">bírálatáról, zsűritagok felkéréséről. </w:t>
      </w:r>
      <w:r w:rsidR="00671C3E">
        <w:t>Munkájukat a Bizottság elnöke és az intézetigazgató útmutatásai szerint végzik, akiknek beszámolási kötelezettséggel tartoznak.</w:t>
      </w:r>
    </w:p>
    <w:p w14:paraId="0F684C6B" w14:textId="77777777" w:rsidR="0052533C" w:rsidRDefault="0052533C" w:rsidP="00671C3E">
      <w:pPr>
        <w:numPr>
          <w:ilvl w:val="0"/>
          <w:numId w:val="16"/>
        </w:numPr>
        <w:jc w:val="both"/>
      </w:pPr>
      <w:r>
        <w:t xml:space="preserve">A Szakkollégium diákbizottságának tudományos felelőse a Bizottság és a Szakkollégium közötti együttműködés koordinátora a két szervezet </w:t>
      </w:r>
      <w:r w:rsidR="00671C3E">
        <w:t>TDK tevékenységet érintő munkakapcsolatában</w:t>
      </w:r>
      <w:r>
        <w:t>.</w:t>
      </w:r>
      <w:r w:rsidR="00671C3E">
        <w:t xml:space="preserve"> Az elnök felkérheti a Szakkollégiumot bizonyos feladatokban való </w:t>
      </w:r>
      <w:r w:rsidR="00671C3E">
        <w:lastRenderedPageBreak/>
        <w:t>közreműködésre, a tudományos felelős pedig tájékoztatást ad ezek teljesítéséről, vagy az ezekben való részvétel</w:t>
      </w:r>
      <w:r w:rsidR="00BA5AC3">
        <w:t>ről.</w:t>
      </w:r>
    </w:p>
    <w:p w14:paraId="2F48561A" w14:textId="77777777" w:rsidR="00B51984" w:rsidRPr="009E771E" w:rsidRDefault="00B51984" w:rsidP="009E771E">
      <w:pPr>
        <w:jc w:val="both"/>
        <w:rPr>
          <w:b/>
        </w:rPr>
      </w:pPr>
    </w:p>
    <w:p w14:paraId="051BE3E3" w14:textId="77777777" w:rsidR="00331357" w:rsidRPr="009E771E" w:rsidRDefault="00BA5AC3" w:rsidP="009E771E">
      <w:pPr>
        <w:jc w:val="both"/>
        <w:rPr>
          <w:b/>
        </w:rPr>
      </w:pPr>
      <w:r>
        <w:rPr>
          <w:b/>
        </w:rPr>
        <w:t>(4)</w:t>
      </w:r>
    </w:p>
    <w:p w14:paraId="1A023709" w14:textId="77777777" w:rsidR="00D51C0C" w:rsidRPr="009E771E" w:rsidRDefault="00331357" w:rsidP="009E771E">
      <w:pPr>
        <w:jc w:val="both"/>
      </w:pPr>
      <w:r w:rsidRPr="009E771E">
        <w:t>A Bizottság feladatai:</w:t>
      </w:r>
    </w:p>
    <w:p w14:paraId="62061741" w14:textId="77777777" w:rsidR="00BF6F59" w:rsidRDefault="00BF6F59" w:rsidP="0061667F">
      <w:pPr>
        <w:numPr>
          <w:ilvl w:val="0"/>
          <w:numId w:val="12"/>
        </w:numPr>
        <w:jc w:val="both"/>
      </w:pPr>
      <w:r w:rsidRPr="009E771E">
        <w:t>Ismerteti a hallgatókkal a TDK munka lehetőségeit és jelentőségét, gondoskodik a kutatási té</w:t>
      </w:r>
      <w:r w:rsidR="00D51C0C" w:rsidRPr="009E771E">
        <w:t>mák rendszeres meghirdetéséről;</w:t>
      </w:r>
    </w:p>
    <w:p w14:paraId="1EB7014A" w14:textId="77777777" w:rsidR="00BF6F59" w:rsidRDefault="00D51C0C" w:rsidP="009E771E">
      <w:pPr>
        <w:numPr>
          <w:ilvl w:val="0"/>
          <w:numId w:val="12"/>
        </w:numPr>
        <w:jc w:val="both"/>
      </w:pPr>
      <w:r w:rsidRPr="009E771E">
        <w:t>Kidolgozza a kari TDK tevékenység végzésének menetét</w:t>
      </w:r>
      <w:r w:rsidR="00377901">
        <w:t xml:space="preserve"> (munkatervet)</w:t>
      </w:r>
      <w:r w:rsidR="00BF6F59" w:rsidRPr="009E771E">
        <w:t>, a tudományos diákköri</w:t>
      </w:r>
      <w:r w:rsidR="00377901">
        <w:t xml:space="preserve"> konferenciákra kerülő tanulmányok</w:t>
      </w:r>
      <w:r w:rsidR="00BF6F59" w:rsidRPr="009E771E">
        <w:t xml:space="preserve"> értékelés</w:t>
      </w:r>
      <w:r w:rsidR="00377901">
        <w:t>ének</w:t>
      </w:r>
      <w:r w:rsidR="00BF6F59" w:rsidRPr="009E771E">
        <w:t xml:space="preserve"> módszereit, a TDK-val kapcsolatos minden, </w:t>
      </w:r>
      <w:r w:rsidR="00D73A62">
        <w:t>e szabályzat által nem érintett</w:t>
      </w:r>
      <w:r w:rsidR="00BF6F59" w:rsidRPr="009E771E">
        <w:t xml:space="preserve"> feladat ellátási rendjét, valamint a díjazás</w:t>
      </w:r>
      <w:r w:rsidRPr="009E771E">
        <w:t>, ösztönzés</w:t>
      </w:r>
      <w:r w:rsidR="00BF6F59" w:rsidRPr="009E771E">
        <w:t xml:space="preserve"> elveit</w:t>
      </w:r>
      <w:r w:rsidRPr="009E771E">
        <w:t>;</w:t>
      </w:r>
    </w:p>
    <w:p w14:paraId="6DB94434" w14:textId="77777777" w:rsidR="007E614F" w:rsidRPr="00377901" w:rsidRDefault="007E614F" w:rsidP="009E771E">
      <w:pPr>
        <w:numPr>
          <w:ilvl w:val="0"/>
          <w:numId w:val="12"/>
        </w:numPr>
        <w:jc w:val="both"/>
      </w:pPr>
      <w:r w:rsidRPr="009E771E">
        <w:rPr>
          <w:color w:val="000000"/>
        </w:rPr>
        <w:t>Javaslatot tesz a TDK munkát végző tagok és az azt kiemelkedően segítő oktatók, kutatók anyagi-erkölcsi elismerésére</w:t>
      </w:r>
      <w:r w:rsidR="00D73A62">
        <w:rPr>
          <w:color w:val="000000"/>
        </w:rPr>
        <w:t>, valamint</w:t>
      </w:r>
      <w:r w:rsidR="00377901">
        <w:rPr>
          <w:color w:val="000000"/>
        </w:rPr>
        <w:t xml:space="preserve"> a Kar költségvetésében a TDK tevékenység támogatására szolgáló források elkülönítésére</w:t>
      </w:r>
      <w:r w:rsidRPr="009E771E">
        <w:rPr>
          <w:color w:val="000000"/>
        </w:rPr>
        <w:t>;</w:t>
      </w:r>
    </w:p>
    <w:p w14:paraId="777A744D" w14:textId="77777777" w:rsidR="00D51C0C" w:rsidRPr="00377901" w:rsidRDefault="00D51C0C" w:rsidP="009E771E">
      <w:pPr>
        <w:numPr>
          <w:ilvl w:val="0"/>
          <w:numId w:val="12"/>
        </w:numPr>
        <w:jc w:val="both"/>
      </w:pPr>
      <w:r w:rsidRPr="009E771E">
        <w:rPr>
          <w:color w:val="000000"/>
        </w:rPr>
        <w:t xml:space="preserve">Szükség esetén kisebb jelentőségű kérdésekben módosítja a kari TDK szabályzatot, amennyiben nagyobb módosítás </w:t>
      </w:r>
      <w:r w:rsidRPr="00E62737">
        <w:rPr>
          <w:color w:val="000000"/>
        </w:rPr>
        <w:t xml:space="preserve">indokolt, </w:t>
      </w:r>
      <w:r w:rsidR="00990DC9" w:rsidRPr="00E62737">
        <w:rPr>
          <w:color w:val="000000"/>
        </w:rPr>
        <w:t>konzultál a Dékánnal</w:t>
      </w:r>
      <w:r w:rsidRPr="00E62737">
        <w:rPr>
          <w:color w:val="000000"/>
        </w:rPr>
        <w:t>;</w:t>
      </w:r>
    </w:p>
    <w:p w14:paraId="2FCCA017" w14:textId="77777777" w:rsidR="00BF6F59" w:rsidRDefault="00D51C0C" w:rsidP="009E771E">
      <w:pPr>
        <w:numPr>
          <w:ilvl w:val="0"/>
          <w:numId w:val="12"/>
        </w:numPr>
        <w:jc w:val="both"/>
      </w:pPr>
      <w:r w:rsidRPr="009E771E">
        <w:t>Megszervezi a Kar</w:t>
      </w:r>
      <w:r w:rsidR="00BF6F59" w:rsidRPr="009E771E">
        <w:t xml:space="preserve"> Tu</w:t>
      </w:r>
      <w:r w:rsidRPr="009E771E">
        <w:t>dományos Diákköri Konferenciáit</w:t>
      </w:r>
      <w:r w:rsidR="00377901">
        <w:t xml:space="preserve"> és ellátja az ezzel kapcsolatos adminisztratív feladatokat</w:t>
      </w:r>
      <w:r w:rsidRPr="009E771E">
        <w:t>;</w:t>
      </w:r>
    </w:p>
    <w:p w14:paraId="58265E68" w14:textId="77777777" w:rsidR="00377901" w:rsidRDefault="00D51C0C" w:rsidP="009E771E">
      <w:pPr>
        <w:numPr>
          <w:ilvl w:val="0"/>
          <w:numId w:val="12"/>
        </w:numPr>
        <w:jc w:val="both"/>
      </w:pPr>
      <w:r w:rsidRPr="009E771E">
        <w:t>Dönt a Kar</w:t>
      </w:r>
      <w:r w:rsidR="00BF6F59" w:rsidRPr="009E771E">
        <w:t xml:space="preserve">, illetve </w:t>
      </w:r>
      <w:r w:rsidRPr="009E771E">
        <w:t>más szponzorok által a</w:t>
      </w:r>
      <w:r w:rsidR="00BF6F59" w:rsidRPr="009E771E">
        <w:t xml:space="preserve"> tudományos diákköri feladatokra adott pénzeszközök elosztásáról;</w:t>
      </w:r>
    </w:p>
    <w:p w14:paraId="5300A3A2" w14:textId="77777777" w:rsidR="00377901" w:rsidRDefault="00BF6F59" w:rsidP="009E771E">
      <w:pPr>
        <w:numPr>
          <w:ilvl w:val="0"/>
          <w:numId w:val="12"/>
        </w:numPr>
        <w:jc w:val="both"/>
      </w:pPr>
      <w:r w:rsidRPr="009E771E">
        <w:t>Tagot delegál az Orszá</w:t>
      </w:r>
      <w:r w:rsidR="00D51C0C" w:rsidRPr="009E771E">
        <w:t>gos Tudományos Diákköri Tanács</w:t>
      </w:r>
      <w:r w:rsidRPr="009E771E">
        <w:t xml:space="preserve"> (továbbiakban OTDT)</w:t>
      </w:r>
      <w:r w:rsidR="00D51C0C" w:rsidRPr="009E771E">
        <w:t xml:space="preserve"> üléseire</w:t>
      </w:r>
      <w:r w:rsidR="007E614F" w:rsidRPr="009E771E">
        <w:t>, részt vesz a kétévente megrendezésre kerülő OTDK előkészítésében és lebonyolításában</w:t>
      </w:r>
      <w:r w:rsidR="00D51C0C" w:rsidRPr="009E771E">
        <w:t>;</w:t>
      </w:r>
    </w:p>
    <w:p w14:paraId="5A924E40" w14:textId="77777777" w:rsidR="00377901" w:rsidRDefault="00377901" w:rsidP="009E771E">
      <w:pPr>
        <w:numPr>
          <w:ilvl w:val="0"/>
          <w:numId w:val="12"/>
        </w:numPr>
        <w:jc w:val="both"/>
      </w:pPr>
      <w:r>
        <w:t>Megszervezi az OTDK-</w:t>
      </w:r>
      <w:proofErr w:type="spellStart"/>
      <w:r>
        <w:t>ra</w:t>
      </w:r>
      <w:proofErr w:type="spellEnd"/>
      <w:r>
        <w:t xml:space="preserve"> delegált hallgatók felkészítését és az országos versenyen való részvételét;</w:t>
      </w:r>
    </w:p>
    <w:p w14:paraId="39D0C345" w14:textId="77777777" w:rsidR="00377901" w:rsidRDefault="00BF6F59" w:rsidP="009E771E">
      <w:pPr>
        <w:numPr>
          <w:ilvl w:val="0"/>
          <w:numId w:val="12"/>
        </w:numPr>
        <w:jc w:val="both"/>
      </w:pPr>
      <w:r w:rsidRPr="009E771E">
        <w:t>Segíti a tudományos diákköri munkák szakmai nyilvánosságának megteremtését, publikálásukat, hasznosításukat;</w:t>
      </w:r>
    </w:p>
    <w:p w14:paraId="18DFF5A0" w14:textId="77777777" w:rsidR="00377901" w:rsidRDefault="00BF6F59" w:rsidP="009E771E">
      <w:pPr>
        <w:numPr>
          <w:ilvl w:val="0"/>
          <w:numId w:val="12"/>
        </w:numPr>
        <w:jc w:val="both"/>
      </w:pPr>
      <w:r w:rsidRPr="009E771E">
        <w:t>Kapcsolatot tart mindazon szervezetekke</w:t>
      </w:r>
      <w:r w:rsidR="00D51C0C" w:rsidRPr="009E771E">
        <w:t>l, melyek a TDK</w:t>
      </w:r>
      <w:r w:rsidRPr="009E771E">
        <w:t xml:space="preserve"> tevékenységét</w:t>
      </w:r>
      <w:r w:rsidR="00D51C0C" w:rsidRPr="009E771E">
        <w:t xml:space="preserve"> bármilyen formában és területen</w:t>
      </w:r>
      <w:r w:rsidR="009A4249">
        <w:t xml:space="preserve"> befolyásolják és</w:t>
      </w:r>
      <w:r w:rsidRPr="009E771E">
        <w:t xml:space="preserve"> támogatják, </w:t>
      </w:r>
      <w:r w:rsidR="00377901">
        <w:t xml:space="preserve">a kari támogatásokon túlmenően </w:t>
      </w:r>
      <w:r w:rsidR="009E771E" w:rsidRPr="009E771E">
        <w:t>forrásokat kutat fel a TDK munkával kapcsolatos kiadások fedezésére, illetve a diákköri tevékenység</w:t>
      </w:r>
      <w:r w:rsidRPr="009E771E">
        <w:t xml:space="preserve"> ösztönzésére;</w:t>
      </w:r>
    </w:p>
    <w:p w14:paraId="62DEC082" w14:textId="77777777" w:rsidR="0073179A" w:rsidRDefault="00BF6F59" w:rsidP="0073179A">
      <w:pPr>
        <w:numPr>
          <w:ilvl w:val="0"/>
          <w:numId w:val="12"/>
        </w:numPr>
        <w:jc w:val="both"/>
      </w:pPr>
      <w:r w:rsidRPr="009E771E">
        <w:t>Egyéb rendezvényeket szervez</w:t>
      </w:r>
      <w:r w:rsidR="00990DC9">
        <w:t>het,</w:t>
      </w:r>
      <w:r w:rsidRPr="009E771E">
        <w:t xml:space="preserve"> </w:t>
      </w:r>
      <w:r w:rsidR="00990DC9">
        <w:t>v</w:t>
      </w:r>
      <w:r w:rsidR="00D51C0C" w:rsidRPr="009E771E">
        <w:t>alamint a TDK-val kapcsolatos minden –</w:t>
      </w:r>
      <w:r w:rsidRPr="009E771E">
        <w:t xml:space="preserve"> más szerv hatáskörébe nem utalt – egyéb feladatot is ellát.</w:t>
      </w:r>
    </w:p>
    <w:p w14:paraId="168C1CB6" w14:textId="77777777" w:rsidR="002C3563" w:rsidRDefault="002C3563" w:rsidP="002C3563">
      <w:pPr>
        <w:jc w:val="both"/>
      </w:pPr>
    </w:p>
    <w:p w14:paraId="183631A9" w14:textId="77777777" w:rsidR="0073179A" w:rsidRDefault="0073179A" w:rsidP="0073179A">
      <w:pPr>
        <w:jc w:val="both"/>
      </w:pPr>
    </w:p>
    <w:p w14:paraId="721BD511" w14:textId="77777777" w:rsidR="0073179A" w:rsidRPr="0073179A" w:rsidRDefault="0073179A" w:rsidP="0073179A">
      <w:pPr>
        <w:jc w:val="center"/>
        <w:rPr>
          <w:b/>
        </w:rPr>
      </w:pPr>
      <w:r>
        <w:rPr>
          <w:b/>
        </w:rPr>
        <w:t>A Kari Tudományos Diákköri Konferencia megszervezésével, lebonyolításával kapcsolatos szabályok</w:t>
      </w:r>
    </w:p>
    <w:p w14:paraId="30C9E19E" w14:textId="77777777" w:rsidR="009E771E" w:rsidRDefault="00505317" w:rsidP="00505317">
      <w:pPr>
        <w:spacing w:before="120"/>
        <w:ind w:left="357"/>
        <w:jc w:val="center"/>
        <w:rPr>
          <w:b/>
        </w:rPr>
      </w:pPr>
      <w:r w:rsidRPr="00505317">
        <w:rPr>
          <w:b/>
        </w:rPr>
        <w:t>3. §</w:t>
      </w:r>
    </w:p>
    <w:p w14:paraId="4BE1285D" w14:textId="77777777" w:rsidR="002C3563" w:rsidRPr="00505317" w:rsidRDefault="002C3563" w:rsidP="00505317">
      <w:pPr>
        <w:spacing w:before="120"/>
        <w:ind w:left="357"/>
        <w:jc w:val="center"/>
        <w:rPr>
          <w:b/>
        </w:rPr>
      </w:pPr>
    </w:p>
    <w:p w14:paraId="17D659F2" w14:textId="77777777" w:rsidR="0073179A" w:rsidRPr="0054682B" w:rsidRDefault="00505317" w:rsidP="0054682B">
      <w:pPr>
        <w:jc w:val="both"/>
        <w:rPr>
          <w:b/>
        </w:rPr>
      </w:pPr>
      <w:r>
        <w:rPr>
          <w:b/>
        </w:rPr>
        <w:t>(1)</w:t>
      </w:r>
    </w:p>
    <w:p w14:paraId="15454A72" w14:textId="77777777" w:rsidR="00BF6F59" w:rsidRDefault="0073179A" w:rsidP="0054682B">
      <w:pPr>
        <w:jc w:val="both"/>
      </w:pPr>
      <w:r>
        <w:t xml:space="preserve">A Kari Tudományos Diákköri Konferencia (továbbiakban Kari Konferencia) megszervezése és lebonyolítása a Bizottság feladata. </w:t>
      </w:r>
      <w:r w:rsidR="004D3473">
        <w:t>Ennek értelmében:</w:t>
      </w:r>
    </w:p>
    <w:p w14:paraId="1E45AD5D" w14:textId="77777777" w:rsidR="00BF6F59" w:rsidRDefault="00BF6F59" w:rsidP="0054682B">
      <w:pPr>
        <w:jc w:val="both"/>
      </w:pPr>
    </w:p>
    <w:p w14:paraId="72189A3B" w14:textId="77777777" w:rsidR="0054682B" w:rsidRDefault="004D3473" w:rsidP="0061667F">
      <w:pPr>
        <w:numPr>
          <w:ilvl w:val="0"/>
          <w:numId w:val="13"/>
        </w:numPr>
        <w:jc w:val="both"/>
      </w:pPr>
      <w:r>
        <w:t>Kijelöli a Kari K</w:t>
      </w:r>
      <w:r w:rsidR="00BF6F59">
        <w:t>onferencia megrendezésének időpontját</w:t>
      </w:r>
      <w:r w:rsidR="0054682B">
        <w:t>, helyét</w:t>
      </w:r>
      <w:r>
        <w:t>, amelyről minden érdekeltet megfelelő módon és időben tájékoztat.</w:t>
      </w:r>
    </w:p>
    <w:p w14:paraId="34E1B448" w14:textId="77777777" w:rsidR="0054682B" w:rsidRDefault="00BF6F59" w:rsidP="0054682B">
      <w:pPr>
        <w:numPr>
          <w:ilvl w:val="0"/>
          <w:numId w:val="13"/>
        </w:numPr>
        <w:jc w:val="both"/>
      </w:pPr>
      <w:r>
        <w:t xml:space="preserve">Meghatározza a </w:t>
      </w:r>
      <w:r w:rsidR="004D3473">
        <w:t xml:space="preserve">részvétel feltételeit, a </w:t>
      </w:r>
      <w:r>
        <w:t>jelentkezések és a do</w:t>
      </w:r>
      <w:r w:rsidR="004D3473">
        <w:t>lgozatok beadásának határidejét, valamint az értékelés kritériumait</w:t>
      </w:r>
      <w:r w:rsidR="00BF1CB8">
        <w:t>, amelyekről megfelelő módon és időben informálja az érdekelteket</w:t>
      </w:r>
      <w:r w:rsidR="004D3473">
        <w:t>.</w:t>
      </w:r>
    </w:p>
    <w:p w14:paraId="51CE08E5" w14:textId="77777777" w:rsidR="0054682B" w:rsidRDefault="004D3473" w:rsidP="0054682B">
      <w:pPr>
        <w:numPr>
          <w:ilvl w:val="0"/>
          <w:numId w:val="13"/>
        </w:numPr>
        <w:jc w:val="both"/>
      </w:pPr>
      <w:r>
        <w:t>A K</w:t>
      </w:r>
      <w:r w:rsidR="00BF6F59">
        <w:t xml:space="preserve">onferencia lebonyolításához költségvetést készít, amelyet jóváhagyásra benyújt </w:t>
      </w:r>
      <w:r>
        <w:t>a Dékánnak.</w:t>
      </w:r>
    </w:p>
    <w:p w14:paraId="683811C1" w14:textId="77777777" w:rsidR="0054682B" w:rsidRDefault="00BF6F59" w:rsidP="0054682B">
      <w:pPr>
        <w:numPr>
          <w:ilvl w:val="0"/>
          <w:numId w:val="13"/>
        </w:numPr>
        <w:jc w:val="both"/>
      </w:pPr>
      <w:r>
        <w:lastRenderedPageBreak/>
        <w:t>Megszervezi a jelentke</w:t>
      </w:r>
      <w:r w:rsidR="004D3473">
        <w:t>zések alapján a szekciókat, amelyek élére legalább 2</w:t>
      </w:r>
      <w:r>
        <w:t xml:space="preserve"> tagú zsűrit kér fel.</w:t>
      </w:r>
      <w:r w:rsidR="004D3473">
        <w:t xml:space="preserve"> A zsűritagok olyan szakemberek, oktatók köréből kerülnek ki, akiknek hallgatója nem versenyez az adott szekcióban.</w:t>
      </w:r>
      <w:r w:rsidR="005A2FAF">
        <w:t xml:space="preserve"> A zsűrizésben való közreműködésre</w:t>
      </w:r>
      <w:r w:rsidR="0059597A">
        <w:t xml:space="preserve"> – lehetőség szerint – a régióban működő üzletembereket is fel kell kérni.</w:t>
      </w:r>
    </w:p>
    <w:p w14:paraId="4A0E0DC7" w14:textId="77777777" w:rsidR="0054682B" w:rsidRDefault="00BF6F59" w:rsidP="0054682B">
      <w:pPr>
        <w:numPr>
          <w:ilvl w:val="0"/>
          <w:numId w:val="13"/>
        </w:numPr>
        <w:jc w:val="both"/>
      </w:pPr>
      <w:r>
        <w:t>A be</w:t>
      </w:r>
      <w:r w:rsidR="004D3473">
        <w:t xml:space="preserve">érkezett dolgozatokat lehetőség szerint </w:t>
      </w:r>
      <w:r w:rsidR="00990DC9">
        <w:t>két</w:t>
      </w:r>
      <w:r>
        <w:t xml:space="preserve"> bírálónak</w:t>
      </w:r>
      <w:r w:rsidR="004D3473">
        <w:t xml:space="preserve"> adja ki</w:t>
      </w:r>
      <w:r w:rsidR="00990DC9">
        <w:t>.</w:t>
      </w:r>
      <w:r w:rsidR="0054682B">
        <w:t xml:space="preserve"> </w:t>
      </w:r>
      <w:r w:rsidR="00990DC9">
        <w:t>Bírálatot érintett</w:t>
      </w:r>
      <w:r w:rsidR="0054682B">
        <w:t xml:space="preserve"> </w:t>
      </w:r>
      <w:r w:rsidR="00990DC9">
        <w:t>témavezető nem adhat</w:t>
      </w:r>
      <w:r w:rsidR="004D3473">
        <w:t xml:space="preserve">. </w:t>
      </w:r>
      <w:r w:rsidR="005A2FAF">
        <w:t>A bírálók belső és külső oktatók, szakemberek is lehetnek.</w:t>
      </w:r>
    </w:p>
    <w:p w14:paraId="18335E04" w14:textId="77777777" w:rsidR="0054682B" w:rsidRDefault="00BF6F59" w:rsidP="0054682B">
      <w:pPr>
        <w:numPr>
          <w:ilvl w:val="0"/>
          <w:numId w:val="13"/>
        </w:numPr>
        <w:jc w:val="both"/>
      </w:pPr>
      <w:r>
        <w:t xml:space="preserve">Elszámol a költségekkel, és javaslatot tesz a konzulens tanárok </w:t>
      </w:r>
      <w:r w:rsidR="004D3473">
        <w:t>munkájának elismerésére</w:t>
      </w:r>
      <w:r>
        <w:t>.</w:t>
      </w:r>
    </w:p>
    <w:p w14:paraId="05AA8750" w14:textId="77777777" w:rsidR="00F74902" w:rsidRDefault="00F74902" w:rsidP="0054682B">
      <w:pPr>
        <w:numPr>
          <w:ilvl w:val="0"/>
          <w:numId w:val="13"/>
        </w:numPr>
        <w:jc w:val="both"/>
      </w:pPr>
      <w:r>
        <w:t>Dönt az egyes szekciókban odaítélhető díjakról, gondoskodik a Konferencia részvételi és helyezési okleveleinek elkészítéséről és ezek méltó körülmények között történő átadásáról.</w:t>
      </w:r>
    </w:p>
    <w:p w14:paraId="7A15C2F4" w14:textId="77777777" w:rsidR="00F74902" w:rsidRDefault="00F74902" w:rsidP="00F74902">
      <w:pPr>
        <w:numPr>
          <w:ilvl w:val="0"/>
          <w:numId w:val="13"/>
        </w:numPr>
        <w:jc w:val="both"/>
      </w:pPr>
      <w:r>
        <w:t>A Kari Konferencia dokumentációját (jegyzőkönyvét) megküldi az Országos Tudományos Diákköri Tanácsnak a következő OTDK részvételi jogosultság igazolása céljából.</w:t>
      </w:r>
    </w:p>
    <w:p w14:paraId="2FE50201" w14:textId="77777777" w:rsidR="00B32266" w:rsidRDefault="00BF6F59" w:rsidP="00BF1CB8">
      <w:pPr>
        <w:numPr>
          <w:ilvl w:val="0"/>
          <w:numId w:val="13"/>
        </w:numPr>
        <w:jc w:val="both"/>
      </w:pPr>
      <w:r>
        <w:t xml:space="preserve">A legtehetségesebb diákok számára biztosítja az OTDK-n és a </w:t>
      </w:r>
      <w:r w:rsidRPr="002D3670">
        <w:rPr>
          <w:color w:val="000000"/>
        </w:rPr>
        <w:t>Közgazdász Hallgatók Tudományos Tanácskozás</w:t>
      </w:r>
      <w:r>
        <w:rPr>
          <w:color w:val="000000"/>
        </w:rPr>
        <w:t>á</w:t>
      </w:r>
      <w:r>
        <w:t xml:space="preserve">n, </w:t>
      </w:r>
      <w:r w:rsidR="00990DC9">
        <w:t xml:space="preserve">esetleg </w:t>
      </w:r>
      <w:r>
        <w:t>regionális, nemzetközi konferenciákon való részvételt.</w:t>
      </w:r>
    </w:p>
    <w:p w14:paraId="7F8AA179" w14:textId="77777777" w:rsidR="00990DC9" w:rsidRDefault="00990DC9" w:rsidP="00990DC9">
      <w:pPr>
        <w:jc w:val="both"/>
      </w:pPr>
    </w:p>
    <w:p w14:paraId="0461993E" w14:textId="77777777" w:rsidR="00081774" w:rsidRPr="00081774" w:rsidRDefault="00505317" w:rsidP="00081774">
      <w:pPr>
        <w:jc w:val="both"/>
        <w:rPr>
          <w:b/>
        </w:rPr>
      </w:pPr>
      <w:r>
        <w:rPr>
          <w:b/>
        </w:rPr>
        <w:t>(2)</w:t>
      </w:r>
    </w:p>
    <w:p w14:paraId="2F40A3C9" w14:textId="77777777" w:rsidR="00081774" w:rsidRDefault="00081774" w:rsidP="00081774">
      <w:pPr>
        <w:jc w:val="both"/>
        <w:rPr>
          <w:rFonts w:ascii="TimesNewRoman" w:hAnsi="TimesNewRoman" w:cs="TimesNewRoman"/>
        </w:rPr>
      </w:pPr>
      <w:r>
        <w:t>A Kari Konferencián</w:t>
      </w:r>
      <w:r>
        <w:rPr>
          <w:rFonts w:ascii="TimesNewRoman" w:hAnsi="TimesNewRoman" w:cs="TimesNewRoman"/>
        </w:rPr>
        <w:t xml:space="preserve"> – versenyzőként – részt vehet a PTE KTK bármely képzési formáján hallgatói jogviszonnyal rendelkező hallgató, aki a megadott feltételeknek megfelelő módon elkészített és benyújtott dolgozattal dokumentálja a TDK-ban végzett teljesítményét. </w:t>
      </w:r>
      <w:r w:rsidR="00B32266">
        <w:rPr>
          <w:rFonts w:ascii="TimesNewRoman" w:hAnsi="TimesNewRoman" w:cs="TimesNewRoman"/>
        </w:rPr>
        <w:t>A Konferencia szekcióülései nyitottak minden, az ilyen alkalommal elvárható viselkedési szabályokat betartó érdeklődő számára.</w:t>
      </w:r>
      <w:r>
        <w:rPr>
          <w:rFonts w:ascii="TimesNewRoman" w:hAnsi="TimesNewRoman" w:cs="TimesNewRoman"/>
        </w:rPr>
        <w:t xml:space="preserve"> </w:t>
      </w:r>
    </w:p>
    <w:p w14:paraId="5DD81BB4" w14:textId="77777777" w:rsidR="00B32266" w:rsidRPr="00B32266" w:rsidRDefault="00B32266" w:rsidP="00081774">
      <w:pPr>
        <w:jc w:val="both"/>
        <w:rPr>
          <w:rFonts w:ascii="TimesNewRoman" w:hAnsi="TimesNewRoman" w:cs="TimesNewRoman"/>
          <w:b/>
        </w:rPr>
      </w:pPr>
    </w:p>
    <w:p w14:paraId="46AB9F62" w14:textId="77777777" w:rsidR="00B32266" w:rsidRPr="00B32266" w:rsidRDefault="00505317" w:rsidP="00081774">
      <w:pPr>
        <w:jc w:val="both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>(3)</w:t>
      </w:r>
    </w:p>
    <w:p w14:paraId="410E4805" w14:textId="77777777" w:rsidR="00B32266" w:rsidRDefault="00081774" w:rsidP="003239DC">
      <w:pPr>
        <w:tabs>
          <w:tab w:val="num" w:pos="840"/>
        </w:tabs>
        <w:jc w:val="both"/>
      </w:pPr>
      <w:r>
        <w:t xml:space="preserve">A Kari Konferenciára a lebonyolítás időpontját megelőzően </w:t>
      </w:r>
      <w:r w:rsidR="00990DC9">
        <w:t xml:space="preserve">kb. </w:t>
      </w:r>
      <w:r>
        <w:t>2 hónappal lehet jelentkezni nyomtatott, vagy elektronikus formában hozzáférhető jelentkezési lap kitöltésével és a Bizottsághoz való eljuttatásával. A dolgozatot két példányban kell a Bizottság által kijelölt helyen leadni legalább két héttel a Konferencia időpontja előtt.</w:t>
      </w:r>
      <w:r w:rsidR="00B32266">
        <w:t xml:space="preserve"> </w:t>
      </w:r>
    </w:p>
    <w:p w14:paraId="5BEDC45A" w14:textId="77777777" w:rsidR="00242211" w:rsidRDefault="00242211" w:rsidP="003239DC">
      <w:pPr>
        <w:tabs>
          <w:tab w:val="num" w:pos="840"/>
        </w:tabs>
        <w:jc w:val="both"/>
      </w:pPr>
    </w:p>
    <w:p w14:paraId="4B92970C" w14:textId="77777777" w:rsidR="00242211" w:rsidRPr="00242211" w:rsidRDefault="00505317" w:rsidP="003239DC">
      <w:pPr>
        <w:tabs>
          <w:tab w:val="num" w:pos="840"/>
        </w:tabs>
        <w:jc w:val="both"/>
        <w:rPr>
          <w:b/>
        </w:rPr>
      </w:pPr>
      <w:r>
        <w:rPr>
          <w:b/>
        </w:rPr>
        <w:t>(4)</w:t>
      </w:r>
    </w:p>
    <w:p w14:paraId="51B985D8" w14:textId="194AF6C1" w:rsidR="00242211" w:rsidRDefault="00242211" w:rsidP="003239DC">
      <w:pPr>
        <w:tabs>
          <w:tab w:val="num" w:pos="840"/>
        </w:tabs>
        <w:jc w:val="both"/>
      </w:pPr>
      <w:r>
        <w:rPr>
          <w:rFonts w:eastAsia="ArialNarrow"/>
        </w:rPr>
        <w:t>Tö</w:t>
      </w:r>
      <w:r w:rsidRPr="005B7079">
        <w:rPr>
          <w:rFonts w:eastAsia="ArialNarrow"/>
        </w:rPr>
        <w:t>bb szerz</w:t>
      </w:r>
      <w:r>
        <w:rPr>
          <w:rFonts w:eastAsia="ArialNarrow"/>
        </w:rPr>
        <w:t xml:space="preserve">ő közösen is készíthet dolgozatot, illetve egy hallgató több – de szekciónként maximum egy – dolgozattal is pályázhat. </w:t>
      </w:r>
      <w:r w:rsidR="00D73A62">
        <w:rPr>
          <w:rFonts w:eastAsia="ArialNarrow"/>
        </w:rPr>
        <w:t xml:space="preserve">A TDK-dolgozatok szakdolgozatként való benyújtásának </w:t>
      </w:r>
      <w:r w:rsidR="00221AF1">
        <w:rPr>
          <w:rFonts w:eastAsia="ArialNarrow"/>
        </w:rPr>
        <w:t xml:space="preserve">tekintetében </w:t>
      </w:r>
      <w:r w:rsidR="00D73A62">
        <w:rPr>
          <w:rFonts w:eastAsia="ArialNarrow"/>
        </w:rPr>
        <w:t>az OTDT</w:t>
      </w:r>
      <w:r w:rsidR="00221AF1">
        <w:rPr>
          <w:rFonts w:eastAsia="ArialNarrow"/>
        </w:rPr>
        <w:t>, valamint a vonatkozó egyetemi és kari szabályzatok az irányadók</w:t>
      </w:r>
      <w:r w:rsidR="00D73A62">
        <w:rPr>
          <w:rFonts w:eastAsia="ArialNarrow"/>
        </w:rPr>
        <w:t>.</w:t>
      </w:r>
    </w:p>
    <w:p w14:paraId="55508B2E" w14:textId="77777777" w:rsidR="00B32266" w:rsidRDefault="00B32266" w:rsidP="003239DC">
      <w:pPr>
        <w:tabs>
          <w:tab w:val="num" w:pos="840"/>
        </w:tabs>
        <w:jc w:val="both"/>
      </w:pPr>
    </w:p>
    <w:p w14:paraId="0DF84A24" w14:textId="77777777" w:rsidR="00B32266" w:rsidRPr="00B32266" w:rsidRDefault="00505317" w:rsidP="003239DC">
      <w:pPr>
        <w:tabs>
          <w:tab w:val="num" w:pos="840"/>
        </w:tabs>
        <w:jc w:val="both"/>
        <w:rPr>
          <w:b/>
        </w:rPr>
      </w:pPr>
      <w:r>
        <w:rPr>
          <w:b/>
        </w:rPr>
        <w:t>(</w:t>
      </w:r>
      <w:r w:rsidR="00242211">
        <w:rPr>
          <w:b/>
        </w:rPr>
        <w:t>5</w:t>
      </w:r>
      <w:r>
        <w:rPr>
          <w:b/>
        </w:rPr>
        <w:t>)</w:t>
      </w:r>
    </w:p>
    <w:p w14:paraId="0941062C" w14:textId="77777777" w:rsidR="00081774" w:rsidRDefault="00B32266" w:rsidP="003239DC">
      <w:pPr>
        <w:tabs>
          <w:tab w:val="num" w:pos="840"/>
        </w:tabs>
        <w:jc w:val="both"/>
      </w:pPr>
      <w:r>
        <w:t xml:space="preserve">A dolgozattal kapcsolatos formai követelmények és értékelési kritériumok, </w:t>
      </w:r>
      <w:r w:rsidR="003239DC">
        <w:t xml:space="preserve">valamint a Konferencián történő bemutatás és </w:t>
      </w:r>
      <w:r>
        <w:t xml:space="preserve">az elbírálás gyakorlatára vonatkozó meggondolások kidolgozása során a Bizottság az OTDT Közgazdasági Szakbizottsága által </w:t>
      </w:r>
      <w:r w:rsidR="006F4FD4">
        <w:t xml:space="preserve">legutoljára </w:t>
      </w:r>
      <w:r>
        <w:t>közzétett, OTDK-</w:t>
      </w:r>
      <w:proofErr w:type="spellStart"/>
      <w:r>
        <w:t>ra</w:t>
      </w:r>
      <w:proofErr w:type="spellEnd"/>
      <w:r>
        <w:t xml:space="preserve"> való felhívásának elveihez igazodik. </w:t>
      </w:r>
      <w:r w:rsidR="00242211">
        <w:t xml:space="preserve">Nem értékelhető olyan dolgozat, amelyet szerzője elbírálásra benyújtott, de a Konferencián szóban nem adott elő, nem védett meg. Amennyiben a szerző a Bizottság által elfogadott indokok alapján nem tud megjelenni a Konferencia helyszínén, de a technikai adottságok ezt lehetővé teszik, előadását </w:t>
      </w:r>
      <w:r w:rsidR="009935D2">
        <w:t>a Konferencia időpontjában elektronikus úton továbbított, élő közvetítés formájában is megtarthatja, valamint megvédheti.</w:t>
      </w:r>
    </w:p>
    <w:p w14:paraId="1E967737" w14:textId="77777777" w:rsidR="00081774" w:rsidRDefault="00081774" w:rsidP="003239DC">
      <w:pPr>
        <w:tabs>
          <w:tab w:val="num" w:pos="840"/>
        </w:tabs>
        <w:jc w:val="both"/>
      </w:pPr>
    </w:p>
    <w:p w14:paraId="0D68396C" w14:textId="77777777" w:rsidR="005B7079" w:rsidRPr="00351112" w:rsidRDefault="00505317" w:rsidP="005B7079">
      <w:pPr>
        <w:autoSpaceDE w:val="0"/>
        <w:autoSpaceDN w:val="0"/>
        <w:adjustRightInd w:val="0"/>
        <w:rPr>
          <w:b/>
        </w:rPr>
      </w:pPr>
      <w:r>
        <w:rPr>
          <w:b/>
        </w:rPr>
        <w:t>(</w:t>
      </w:r>
      <w:r w:rsidR="00242211" w:rsidRPr="00351112">
        <w:rPr>
          <w:b/>
        </w:rPr>
        <w:t>6</w:t>
      </w:r>
      <w:r>
        <w:rPr>
          <w:b/>
        </w:rPr>
        <w:t>)</w:t>
      </w:r>
    </w:p>
    <w:p w14:paraId="726F9FCD" w14:textId="6BE90F6B" w:rsidR="003239DC" w:rsidRDefault="009935D2" w:rsidP="00A725E1">
      <w:pPr>
        <w:autoSpaceDE w:val="0"/>
        <w:autoSpaceDN w:val="0"/>
        <w:adjustRightInd w:val="0"/>
        <w:jc w:val="both"/>
        <w:rPr>
          <w:rFonts w:eastAsia="ArialNarrow"/>
        </w:rPr>
      </w:pPr>
      <w:r>
        <w:rPr>
          <w:rFonts w:eastAsia="ArialNarrow"/>
        </w:rPr>
        <w:t>Az OTDK-</w:t>
      </w:r>
      <w:proofErr w:type="spellStart"/>
      <w:r>
        <w:rPr>
          <w:rFonts w:eastAsia="ArialNarrow"/>
        </w:rPr>
        <w:t>ra</w:t>
      </w:r>
      <w:proofErr w:type="spellEnd"/>
      <w:r>
        <w:rPr>
          <w:rFonts w:eastAsia="ArialNarrow"/>
        </w:rPr>
        <w:t xml:space="preserve"> azok a dolgozatok nevezhetők, amelyeket az egyes szekciókban a zsűri erre alkalmasnak ítél. Általános szabályk</w:t>
      </w:r>
      <w:r w:rsidR="005D0D65">
        <w:rPr>
          <w:rFonts w:eastAsia="ArialNarrow"/>
        </w:rPr>
        <w:t xml:space="preserve">ént az egyes dolgozatok értékelése során maximálisan megítélhető pontszám legalább </w:t>
      </w:r>
      <w:r w:rsidR="00351112">
        <w:rPr>
          <w:rFonts w:eastAsia="ArialNarrow"/>
        </w:rPr>
        <w:t>75%-át kell elérni ahhoz, hogy a pályamunka az OTDK-</w:t>
      </w:r>
      <w:proofErr w:type="spellStart"/>
      <w:r w:rsidR="00351112">
        <w:rPr>
          <w:rFonts w:eastAsia="ArialNarrow"/>
        </w:rPr>
        <w:t>ra</w:t>
      </w:r>
      <w:proofErr w:type="spellEnd"/>
      <w:r w:rsidR="00351112">
        <w:rPr>
          <w:rFonts w:eastAsia="ArialNarrow"/>
        </w:rPr>
        <w:t xml:space="preserve"> nevezhető legyen. </w:t>
      </w:r>
    </w:p>
    <w:p w14:paraId="3F5264D2" w14:textId="77777777" w:rsidR="0048076A" w:rsidRDefault="0048076A" w:rsidP="005B7079">
      <w:pPr>
        <w:autoSpaceDE w:val="0"/>
        <w:autoSpaceDN w:val="0"/>
        <w:adjustRightInd w:val="0"/>
        <w:rPr>
          <w:rFonts w:eastAsia="ArialNarrow"/>
        </w:rPr>
      </w:pPr>
    </w:p>
    <w:p w14:paraId="56F2B51D" w14:textId="77777777" w:rsidR="000B2F31" w:rsidRDefault="000B2F31" w:rsidP="005B7079">
      <w:pPr>
        <w:autoSpaceDE w:val="0"/>
        <w:autoSpaceDN w:val="0"/>
        <w:adjustRightInd w:val="0"/>
        <w:rPr>
          <w:rFonts w:eastAsia="ArialNarrow"/>
        </w:rPr>
      </w:pPr>
    </w:p>
    <w:p w14:paraId="381AF7CC" w14:textId="77777777" w:rsidR="000B2F31" w:rsidRPr="000B2F31" w:rsidRDefault="000B2F31" w:rsidP="000B2F31">
      <w:pPr>
        <w:autoSpaceDE w:val="0"/>
        <w:autoSpaceDN w:val="0"/>
        <w:adjustRightInd w:val="0"/>
        <w:jc w:val="center"/>
        <w:rPr>
          <w:rFonts w:eastAsia="ArialNarrow"/>
          <w:b/>
        </w:rPr>
      </w:pPr>
      <w:r w:rsidRPr="000B2F31">
        <w:rPr>
          <w:rFonts w:eastAsia="ArialNarrow"/>
          <w:b/>
        </w:rPr>
        <w:t>Záró rendelkezések</w:t>
      </w:r>
    </w:p>
    <w:p w14:paraId="7DA113EA" w14:textId="77777777" w:rsidR="00036ADD" w:rsidRDefault="000B2F31" w:rsidP="000B2F31">
      <w:pPr>
        <w:autoSpaceDE w:val="0"/>
        <w:autoSpaceDN w:val="0"/>
        <w:adjustRightInd w:val="0"/>
        <w:jc w:val="center"/>
        <w:rPr>
          <w:rFonts w:eastAsia="ArialNarrow"/>
          <w:b/>
        </w:rPr>
      </w:pPr>
      <w:r w:rsidRPr="000B2F31">
        <w:rPr>
          <w:rFonts w:eastAsia="ArialNarrow"/>
          <w:b/>
        </w:rPr>
        <w:t>4. §</w:t>
      </w:r>
    </w:p>
    <w:p w14:paraId="2785EACD" w14:textId="77777777" w:rsidR="000B2F31" w:rsidRDefault="000B2F31" w:rsidP="000B2F31">
      <w:pPr>
        <w:autoSpaceDE w:val="0"/>
        <w:autoSpaceDN w:val="0"/>
        <w:adjustRightInd w:val="0"/>
        <w:jc w:val="center"/>
        <w:rPr>
          <w:rFonts w:eastAsia="ArialNarrow"/>
          <w:b/>
        </w:rPr>
      </w:pPr>
    </w:p>
    <w:p w14:paraId="578D7870" w14:textId="77777777" w:rsidR="000B2F31" w:rsidRPr="000B2F31" w:rsidRDefault="000B2F31" w:rsidP="000B2F31">
      <w:pPr>
        <w:autoSpaceDE w:val="0"/>
        <w:autoSpaceDN w:val="0"/>
        <w:adjustRightInd w:val="0"/>
        <w:rPr>
          <w:rFonts w:eastAsia="ArialNarrow"/>
          <w:b/>
        </w:rPr>
      </w:pPr>
      <w:r>
        <w:rPr>
          <w:rFonts w:eastAsia="ArialNarrow"/>
          <w:b/>
        </w:rPr>
        <w:t>(1)</w:t>
      </w:r>
    </w:p>
    <w:p w14:paraId="695242D7" w14:textId="4188E88E" w:rsidR="006F4FD4" w:rsidRDefault="000B2F31" w:rsidP="000B2F3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PTE KTK</w:t>
      </w:r>
      <w:r w:rsidRPr="000B2F31">
        <w:rPr>
          <w:rFonts w:ascii="Times New Roman" w:hAnsi="Times New Roman" w:cs="Times New Roman"/>
        </w:rPr>
        <w:t xml:space="preserve"> Tudományos </w:t>
      </w:r>
      <w:r w:rsidR="000532F7">
        <w:rPr>
          <w:rFonts w:ascii="Times New Roman" w:hAnsi="Times New Roman" w:cs="Times New Roman"/>
        </w:rPr>
        <w:t>diá</w:t>
      </w:r>
      <w:r w:rsidR="00945532">
        <w:rPr>
          <w:rFonts w:ascii="Times New Roman" w:hAnsi="Times New Roman" w:cs="Times New Roman"/>
        </w:rPr>
        <w:t>kköri sz</w:t>
      </w:r>
      <w:r w:rsidR="002C3563">
        <w:rPr>
          <w:rFonts w:ascii="Times New Roman" w:hAnsi="Times New Roman" w:cs="Times New Roman"/>
        </w:rPr>
        <w:t xml:space="preserve">abályzatát a Kar vezetősége </w:t>
      </w:r>
      <w:r w:rsidR="00BA3EF4">
        <w:rPr>
          <w:rFonts w:ascii="Times New Roman" w:hAnsi="Times New Roman" w:cs="Times New Roman"/>
        </w:rPr>
        <w:t>2026</w:t>
      </w:r>
      <w:r w:rsidR="002C3563">
        <w:rPr>
          <w:rFonts w:ascii="Times New Roman" w:hAnsi="Times New Roman" w:cs="Times New Roman"/>
        </w:rPr>
        <w:t xml:space="preserve">. </w:t>
      </w:r>
      <w:r w:rsidR="00BA3EF4">
        <w:rPr>
          <w:rFonts w:ascii="Times New Roman" w:hAnsi="Times New Roman" w:cs="Times New Roman"/>
        </w:rPr>
        <w:t>február</w:t>
      </w:r>
      <w:r w:rsidR="002C3563">
        <w:rPr>
          <w:rFonts w:ascii="Times New Roman" w:hAnsi="Times New Roman" w:cs="Times New Roman"/>
        </w:rPr>
        <w:t xml:space="preserve"> </w:t>
      </w:r>
      <w:r w:rsidR="00BA3EF4">
        <w:rPr>
          <w:rFonts w:ascii="Times New Roman" w:hAnsi="Times New Roman" w:cs="Times New Roman"/>
        </w:rPr>
        <w:t>18</w:t>
      </w:r>
      <w:r w:rsidRPr="000B2F31">
        <w:rPr>
          <w:rFonts w:ascii="Times New Roman" w:hAnsi="Times New Roman" w:cs="Times New Roman"/>
        </w:rPr>
        <w:t>-i ülésén megtárgyalta és</w:t>
      </w:r>
      <w:r w:rsidR="006F4FD4">
        <w:rPr>
          <w:rFonts w:ascii="Times New Roman" w:hAnsi="Times New Roman" w:cs="Times New Roman"/>
        </w:rPr>
        <w:t xml:space="preserve"> elfogadta. Jelen</w:t>
      </w:r>
      <w:r w:rsidRPr="000B2F31">
        <w:rPr>
          <w:rFonts w:ascii="Times New Roman" w:hAnsi="Times New Roman" w:cs="Times New Roman"/>
        </w:rPr>
        <w:t xml:space="preserve"> </w:t>
      </w:r>
      <w:r w:rsidRPr="00E62737">
        <w:rPr>
          <w:rFonts w:ascii="Times New Roman" w:hAnsi="Times New Roman" w:cs="Times New Roman"/>
        </w:rPr>
        <w:t xml:space="preserve">szabályzat </w:t>
      </w:r>
      <w:r w:rsidR="00BA3EF4">
        <w:rPr>
          <w:rFonts w:ascii="Times New Roman" w:hAnsi="Times New Roman" w:cs="Times New Roman"/>
        </w:rPr>
        <w:t>az elfogadás napján</w:t>
      </w:r>
      <w:r w:rsidR="006F4FD4" w:rsidRPr="00E62737">
        <w:rPr>
          <w:rFonts w:ascii="Times New Roman" w:hAnsi="Times New Roman" w:cs="Times New Roman"/>
        </w:rPr>
        <w:t xml:space="preserve"> lép hatályba</w:t>
      </w:r>
      <w:r w:rsidR="006F4FD4">
        <w:rPr>
          <w:rFonts w:ascii="Times New Roman" w:hAnsi="Times New Roman" w:cs="Times New Roman"/>
        </w:rPr>
        <w:t>.</w:t>
      </w:r>
    </w:p>
    <w:p w14:paraId="13DB305D" w14:textId="77777777" w:rsidR="006F4FD4" w:rsidRDefault="006F4FD4" w:rsidP="000B2F31">
      <w:pPr>
        <w:pStyle w:val="Default"/>
        <w:jc w:val="both"/>
        <w:rPr>
          <w:rFonts w:ascii="Times New Roman" w:hAnsi="Times New Roman" w:cs="Times New Roman"/>
        </w:rPr>
      </w:pPr>
    </w:p>
    <w:p w14:paraId="5ADB15BB" w14:textId="77777777" w:rsidR="000B2F31" w:rsidRPr="006F4FD4" w:rsidRDefault="006F4FD4" w:rsidP="000B2F31">
      <w:pPr>
        <w:pStyle w:val="Default"/>
        <w:jc w:val="both"/>
        <w:rPr>
          <w:rFonts w:ascii="Times New Roman" w:hAnsi="Times New Roman" w:cs="Times New Roman"/>
          <w:b/>
        </w:rPr>
      </w:pPr>
      <w:r w:rsidRPr="006F4FD4">
        <w:rPr>
          <w:rFonts w:ascii="Times New Roman" w:hAnsi="Times New Roman" w:cs="Times New Roman"/>
          <w:b/>
        </w:rPr>
        <w:t>(2)</w:t>
      </w:r>
      <w:r w:rsidR="000B2F31" w:rsidRPr="006F4FD4">
        <w:rPr>
          <w:rFonts w:ascii="Times New Roman" w:hAnsi="Times New Roman" w:cs="Times New Roman"/>
          <w:b/>
        </w:rPr>
        <w:t xml:space="preserve"> </w:t>
      </w:r>
    </w:p>
    <w:p w14:paraId="21DD9EBF" w14:textId="77777777" w:rsidR="00347A3F" w:rsidRDefault="006F4FD4" w:rsidP="006F4FD4">
      <w:pPr>
        <w:autoSpaceDE w:val="0"/>
        <w:autoSpaceDN w:val="0"/>
        <w:adjustRightInd w:val="0"/>
        <w:jc w:val="both"/>
      </w:pPr>
      <w:r>
        <w:t>Jelen szabályzatot kiegészítései</w:t>
      </w:r>
      <w:r w:rsidR="000B2F31" w:rsidRPr="000B2F31">
        <w:t>t</w:t>
      </w:r>
      <w:r>
        <w:t>, korrekcióit a Kar</w:t>
      </w:r>
      <w:r w:rsidR="000B2F31" w:rsidRPr="000B2F31">
        <w:t xml:space="preserve"> honlapján nyilvánosságra kell hozni, hozzáférhetővé kell</w:t>
      </w:r>
      <w:r>
        <w:t xml:space="preserve"> tenni.</w:t>
      </w:r>
    </w:p>
    <w:p w14:paraId="4E1FC9DF" w14:textId="77777777" w:rsidR="001A31D1" w:rsidRDefault="001A31D1" w:rsidP="006F4FD4">
      <w:pPr>
        <w:autoSpaceDE w:val="0"/>
        <w:autoSpaceDN w:val="0"/>
        <w:adjustRightInd w:val="0"/>
        <w:jc w:val="both"/>
      </w:pPr>
    </w:p>
    <w:p w14:paraId="4C0A9DF2" w14:textId="77777777" w:rsidR="00945532" w:rsidRDefault="00945532" w:rsidP="006F4FD4">
      <w:pPr>
        <w:autoSpaceDE w:val="0"/>
        <w:autoSpaceDN w:val="0"/>
        <w:adjustRightInd w:val="0"/>
        <w:jc w:val="both"/>
      </w:pPr>
    </w:p>
    <w:p w14:paraId="4E5A1EE3" w14:textId="77777777" w:rsidR="007621D9" w:rsidRDefault="007621D9" w:rsidP="006F4FD4">
      <w:pPr>
        <w:autoSpaceDE w:val="0"/>
        <w:autoSpaceDN w:val="0"/>
        <w:adjustRightInd w:val="0"/>
        <w:jc w:val="both"/>
      </w:pPr>
    </w:p>
    <w:p w14:paraId="725FB95D" w14:textId="77777777" w:rsidR="007621D9" w:rsidRDefault="007621D9" w:rsidP="006F4FD4">
      <w:pPr>
        <w:autoSpaceDE w:val="0"/>
        <w:autoSpaceDN w:val="0"/>
        <w:adjustRightInd w:val="0"/>
        <w:jc w:val="both"/>
      </w:pPr>
    </w:p>
    <w:p w14:paraId="5D5708E3" w14:textId="77777777" w:rsidR="00945532" w:rsidRDefault="00945532" w:rsidP="006F4FD4">
      <w:pPr>
        <w:autoSpaceDE w:val="0"/>
        <w:autoSpaceDN w:val="0"/>
        <w:adjustRightInd w:val="0"/>
        <w:jc w:val="both"/>
      </w:pPr>
    </w:p>
    <w:p w14:paraId="6EFCE014" w14:textId="29203BC0" w:rsidR="00945532" w:rsidRDefault="00945532" w:rsidP="006F4FD4">
      <w:pPr>
        <w:autoSpaceDE w:val="0"/>
        <w:autoSpaceDN w:val="0"/>
        <w:adjustRightInd w:val="0"/>
        <w:jc w:val="both"/>
      </w:pPr>
      <w:r>
        <w:t xml:space="preserve">Pécs, </w:t>
      </w:r>
      <w:r w:rsidR="00445BEF">
        <w:t>2026</w:t>
      </w:r>
      <w:r>
        <w:t xml:space="preserve">. </w:t>
      </w:r>
      <w:r w:rsidR="00445BEF">
        <w:t>február</w:t>
      </w:r>
      <w:r>
        <w:t xml:space="preserve"> </w:t>
      </w:r>
      <w:r w:rsidR="00445BEF">
        <w:t>18</w:t>
      </w:r>
      <w:r>
        <w:t>-</w:t>
      </w:r>
      <w:r w:rsidR="00445BEF">
        <w:t>á</w:t>
      </w:r>
      <w:r>
        <w:t>n</w:t>
      </w:r>
    </w:p>
    <w:p w14:paraId="762D4384" w14:textId="77777777" w:rsidR="00945532" w:rsidRDefault="00945532" w:rsidP="006F4FD4">
      <w:pPr>
        <w:autoSpaceDE w:val="0"/>
        <w:autoSpaceDN w:val="0"/>
        <w:adjustRightInd w:val="0"/>
        <w:jc w:val="both"/>
      </w:pPr>
    </w:p>
    <w:p w14:paraId="418420A7" w14:textId="77777777" w:rsidR="007621D9" w:rsidRDefault="007621D9" w:rsidP="006F4FD4">
      <w:pPr>
        <w:autoSpaceDE w:val="0"/>
        <w:autoSpaceDN w:val="0"/>
        <w:adjustRightInd w:val="0"/>
        <w:jc w:val="both"/>
      </w:pPr>
    </w:p>
    <w:p w14:paraId="04E590B2" w14:textId="77777777" w:rsidR="007621D9" w:rsidRDefault="007621D9" w:rsidP="006F4FD4">
      <w:pPr>
        <w:autoSpaceDE w:val="0"/>
        <w:autoSpaceDN w:val="0"/>
        <w:adjustRightInd w:val="0"/>
        <w:jc w:val="both"/>
      </w:pPr>
    </w:p>
    <w:p w14:paraId="75ECB0F6" w14:textId="77777777" w:rsidR="007621D9" w:rsidRDefault="007621D9" w:rsidP="006F4FD4">
      <w:pPr>
        <w:autoSpaceDE w:val="0"/>
        <w:autoSpaceDN w:val="0"/>
        <w:adjustRightInd w:val="0"/>
        <w:jc w:val="both"/>
      </w:pPr>
    </w:p>
    <w:p w14:paraId="144DC555" w14:textId="77777777" w:rsidR="007621D9" w:rsidRDefault="007621D9" w:rsidP="006F4FD4">
      <w:pPr>
        <w:autoSpaceDE w:val="0"/>
        <w:autoSpaceDN w:val="0"/>
        <w:adjustRightInd w:val="0"/>
        <w:jc w:val="both"/>
      </w:pPr>
    </w:p>
    <w:p w14:paraId="0697FA04" w14:textId="77777777" w:rsidR="00945532" w:rsidRDefault="00945532" w:rsidP="006F4FD4">
      <w:pPr>
        <w:autoSpaceDE w:val="0"/>
        <w:autoSpaceDN w:val="0"/>
        <w:adjustRightInd w:val="0"/>
        <w:jc w:val="both"/>
      </w:pPr>
    </w:p>
    <w:p w14:paraId="0F5F1E68" w14:textId="77777777" w:rsidR="00945532" w:rsidRDefault="00945532" w:rsidP="006F4FD4">
      <w:pPr>
        <w:autoSpaceDE w:val="0"/>
        <w:autoSpaceDN w:val="0"/>
        <w:adjustRightInd w:val="0"/>
        <w:jc w:val="both"/>
      </w:pPr>
    </w:p>
    <w:p w14:paraId="4F1E430A" w14:textId="638EF120" w:rsidR="00945532" w:rsidRDefault="00445BEF" w:rsidP="006F4FD4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Prof. </w:t>
      </w:r>
      <w:r w:rsidR="00945532">
        <w:rPr>
          <w:i/>
        </w:rPr>
        <w:t xml:space="preserve">Dr. </w:t>
      </w:r>
      <w:r>
        <w:rPr>
          <w:i/>
        </w:rPr>
        <w:t>Kaposi Zoltán</w:t>
      </w:r>
      <w:r w:rsidR="00945532">
        <w:rPr>
          <w:i/>
        </w:rPr>
        <w:t xml:space="preserve">                                                      </w:t>
      </w:r>
      <w:r>
        <w:rPr>
          <w:i/>
        </w:rPr>
        <w:t xml:space="preserve">                  Prof. </w:t>
      </w:r>
      <w:r w:rsidR="00945532">
        <w:rPr>
          <w:i/>
        </w:rPr>
        <w:t xml:space="preserve">Dr. </w:t>
      </w:r>
      <w:r>
        <w:rPr>
          <w:i/>
        </w:rPr>
        <w:t>Takács András</w:t>
      </w:r>
    </w:p>
    <w:p w14:paraId="56FEA681" w14:textId="77777777" w:rsidR="00945532" w:rsidRDefault="00945532" w:rsidP="006F4FD4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                </w:t>
      </w:r>
      <w:proofErr w:type="spellStart"/>
      <w:r>
        <w:rPr>
          <w:i/>
        </w:rPr>
        <w:t>sk</w:t>
      </w:r>
      <w:proofErr w:type="spellEnd"/>
      <w:r>
        <w:rPr>
          <w:i/>
        </w:rPr>
        <w:t xml:space="preserve">.                                                                                                          </w:t>
      </w:r>
      <w:proofErr w:type="spellStart"/>
      <w:r>
        <w:rPr>
          <w:i/>
        </w:rPr>
        <w:t>sk</w:t>
      </w:r>
      <w:proofErr w:type="spellEnd"/>
      <w:r>
        <w:rPr>
          <w:i/>
        </w:rPr>
        <w:t xml:space="preserve">.  </w:t>
      </w:r>
    </w:p>
    <w:p w14:paraId="024694D5" w14:textId="7DC556E0" w:rsidR="00945532" w:rsidRDefault="00945532" w:rsidP="006F4FD4">
      <w:pPr>
        <w:autoSpaceDE w:val="0"/>
        <w:autoSpaceDN w:val="0"/>
        <w:adjustRightInd w:val="0"/>
        <w:jc w:val="both"/>
      </w:pPr>
      <w:r w:rsidRPr="00945532">
        <w:t xml:space="preserve"> </w:t>
      </w:r>
      <w:r w:rsidR="007621D9">
        <w:t xml:space="preserve">   </w:t>
      </w:r>
      <w:r w:rsidRPr="00945532">
        <w:t xml:space="preserve">egyetemi </w:t>
      </w:r>
      <w:r w:rsidR="002C3563">
        <w:t xml:space="preserve">tanár                                                                                        </w:t>
      </w:r>
      <w:r w:rsidRPr="00945532">
        <w:t xml:space="preserve">egyetemi </w:t>
      </w:r>
      <w:r w:rsidR="00445BEF">
        <w:t>tanár</w:t>
      </w:r>
    </w:p>
    <w:p w14:paraId="68C86D6B" w14:textId="16A2D20E" w:rsidR="00945532" w:rsidRDefault="00945532" w:rsidP="006F4FD4">
      <w:pPr>
        <w:autoSpaceDE w:val="0"/>
        <w:autoSpaceDN w:val="0"/>
        <w:adjustRightInd w:val="0"/>
        <w:jc w:val="both"/>
      </w:pPr>
      <w:r>
        <w:t xml:space="preserve">PTE KTK TDK Bizottság </w:t>
      </w:r>
      <w:r w:rsidR="002C3563">
        <w:t>elnök</w:t>
      </w:r>
      <w:r>
        <w:t xml:space="preserve">                </w:t>
      </w:r>
      <w:r w:rsidR="002C3563">
        <w:t xml:space="preserve">                             </w:t>
      </w:r>
      <w:r w:rsidR="002B566F">
        <w:t xml:space="preserve">                   PTE KTK </w:t>
      </w:r>
      <w:r>
        <w:t>Dékán</w:t>
      </w:r>
    </w:p>
    <w:p w14:paraId="6C1A8AFF" w14:textId="77777777" w:rsidR="00945532" w:rsidRPr="00945532" w:rsidRDefault="00945532" w:rsidP="006F4FD4">
      <w:pPr>
        <w:autoSpaceDE w:val="0"/>
        <w:autoSpaceDN w:val="0"/>
        <w:adjustRightInd w:val="0"/>
        <w:jc w:val="both"/>
      </w:pPr>
      <w:r>
        <w:t xml:space="preserve">             </w:t>
      </w:r>
    </w:p>
    <w:p w14:paraId="51534369" w14:textId="77777777" w:rsidR="00945532" w:rsidRPr="00945532" w:rsidRDefault="00945532" w:rsidP="006F4FD4">
      <w:pPr>
        <w:autoSpaceDE w:val="0"/>
        <w:autoSpaceDN w:val="0"/>
        <w:adjustRightInd w:val="0"/>
        <w:jc w:val="both"/>
        <w:rPr>
          <w:b/>
          <w:bCs/>
          <w:i/>
        </w:rPr>
      </w:pPr>
    </w:p>
    <w:sectPr w:rsidR="00945532" w:rsidRPr="00945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B7B9B"/>
    <w:multiLevelType w:val="multilevel"/>
    <w:tmpl w:val="862A65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2268"/>
    <w:multiLevelType w:val="multilevel"/>
    <w:tmpl w:val="163C48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6438D7"/>
    <w:multiLevelType w:val="hybridMultilevel"/>
    <w:tmpl w:val="405EB034"/>
    <w:lvl w:ilvl="0" w:tplc="452C30B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ArialNarrow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D22F89"/>
    <w:multiLevelType w:val="hybridMultilevel"/>
    <w:tmpl w:val="A7B2FBE0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DD473F"/>
    <w:multiLevelType w:val="multilevel"/>
    <w:tmpl w:val="74C06CA4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2113036"/>
    <w:multiLevelType w:val="multilevel"/>
    <w:tmpl w:val="FA6CA1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52E0FCC"/>
    <w:multiLevelType w:val="hybridMultilevel"/>
    <w:tmpl w:val="A2D8BA22"/>
    <w:lvl w:ilvl="0" w:tplc="DDDE45A8">
      <w:start w:val="2"/>
      <w:numFmt w:val="bullet"/>
      <w:lvlText w:val=""/>
      <w:lvlJc w:val="left"/>
      <w:pPr>
        <w:tabs>
          <w:tab w:val="num" w:pos="1377"/>
        </w:tabs>
        <w:ind w:left="1377" w:hanging="360"/>
      </w:pPr>
      <w:rPr>
        <w:rFonts w:ascii="Symbol" w:eastAsia="Times New Roman" w:hAnsi="Symbol" w:cs="Times New Roman" w:hint="default"/>
      </w:rPr>
    </w:lvl>
    <w:lvl w:ilvl="1" w:tplc="040E000D">
      <w:start w:val="1"/>
      <w:numFmt w:val="bullet"/>
      <w:lvlText w:val=""/>
      <w:lvlJc w:val="left"/>
      <w:pPr>
        <w:tabs>
          <w:tab w:val="num" w:pos="2097"/>
        </w:tabs>
        <w:ind w:left="2097" w:hanging="360"/>
      </w:pPr>
      <w:rPr>
        <w:rFonts w:ascii="Wingdings" w:hAnsi="Wingdings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B74187"/>
    <w:multiLevelType w:val="hybridMultilevel"/>
    <w:tmpl w:val="5B4CD74A"/>
    <w:lvl w:ilvl="0" w:tplc="9506999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4"/>
      </w:rPr>
    </w:lvl>
    <w:lvl w:ilvl="1" w:tplc="B92C633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2F6627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CB8553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BA487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C3CA26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F3A555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8903E1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124E0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32FF1AF2"/>
    <w:multiLevelType w:val="multilevel"/>
    <w:tmpl w:val="D04EFE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D9B1ADC"/>
    <w:multiLevelType w:val="multilevel"/>
    <w:tmpl w:val="60CA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6E011E"/>
    <w:multiLevelType w:val="hybridMultilevel"/>
    <w:tmpl w:val="D5DC1758"/>
    <w:lvl w:ilvl="0" w:tplc="CB4E0E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ArialNarrow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85E9F"/>
    <w:multiLevelType w:val="hybridMultilevel"/>
    <w:tmpl w:val="7CE85710"/>
    <w:lvl w:ilvl="0" w:tplc="3DD2FB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4563C6"/>
    <w:multiLevelType w:val="multilevel"/>
    <w:tmpl w:val="D344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1F419C"/>
    <w:multiLevelType w:val="hybridMultilevel"/>
    <w:tmpl w:val="3A065844"/>
    <w:lvl w:ilvl="0" w:tplc="B6AEB4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ArialNarrow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B70147"/>
    <w:multiLevelType w:val="hybridMultilevel"/>
    <w:tmpl w:val="BA444AB6"/>
    <w:lvl w:ilvl="0" w:tplc="BEE6250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ArialNarrow" w:hAnsi="Times New Roman" w:cs="Times New Roman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77546476">
    <w:abstractNumId w:val="10"/>
  </w:num>
  <w:num w:numId="2" w16cid:durableId="896672040">
    <w:abstractNumId w:val="1"/>
  </w:num>
  <w:num w:numId="3" w16cid:durableId="82563582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42891982">
    <w:abstractNumId w:val="5"/>
  </w:num>
  <w:num w:numId="5" w16cid:durableId="746534745">
    <w:abstractNumId w:val="12"/>
  </w:num>
  <w:num w:numId="6" w16cid:durableId="58671255">
    <w:abstractNumId w:val="0"/>
  </w:num>
  <w:num w:numId="7" w16cid:durableId="324238556">
    <w:abstractNumId w:val="9"/>
  </w:num>
  <w:num w:numId="8" w16cid:durableId="15115989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0677169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1136219">
    <w:abstractNumId w:val="6"/>
  </w:num>
  <w:num w:numId="11" w16cid:durableId="522862404">
    <w:abstractNumId w:val="3"/>
  </w:num>
  <w:num w:numId="12" w16cid:durableId="1619675134">
    <w:abstractNumId w:val="13"/>
  </w:num>
  <w:num w:numId="13" w16cid:durableId="668749717">
    <w:abstractNumId w:val="14"/>
  </w:num>
  <w:num w:numId="14" w16cid:durableId="1280642558">
    <w:abstractNumId w:val="8"/>
  </w:num>
  <w:num w:numId="15" w16cid:durableId="2069106693">
    <w:abstractNumId w:val="4"/>
  </w:num>
  <w:num w:numId="16" w16cid:durableId="85847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41D"/>
    <w:rsid w:val="00010C3A"/>
    <w:rsid w:val="0001336B"/>
    <w:rsid w:val="0002727A"/>
    <w:rsid w:val="00036ADD"/>
    <w:rsid w:val="000409C2"/>
    <w:rsid w:val="00044B6E"/>
    <w:rsid w:val="00046989"/>
    <w:rsid w:val="00046C31"/>
    <w:rsid w:val="000532F7"/>
    <w:rsid w:val="000618F6"/>
    <w:rsid w:val="000669A4"/>
    <w:rsid w:val="000720D5"/>
    <w:rsid w:val="00081774"/>
    <w:rsid w:val="00083856"/>
    <w:rsid w:val="00086ADA"/>
    <w:rsid w:val="00093797"/>
    <w:rsid w:val="000A3FC0"/>
    <w:rsid w:val="000A4AF2"/>
    <w:rsid w:val="000B2F31"/>
    <w:rsid w:val="000F38F7"/>
    <w:rsid w:val="00120DA9"/>
    <w:rsid w:val="001351D3"/>
    <w:rsid w:val="001359C5"/>
    <w:rsid w:val="0015039D"/>
    <w:rsid w:val="00164474"/>
    <w:rsid w:val="00166094"/>
    <w:rsid w:val="001733D6"/>
    <w:rsid w:val="00197A21"/>
    <w:rsid w:val="001A2D3A"/>
    <w:rsid w:val="001A31D1"/>
    <w:rsid w:val="001A5605"/>
    <w:rsid w:val="001A62AA"/>
    <w:rsid w:val="001B055D"/>
    <w:rsid w:val="001B0FC3"/>
    <w:rsid w:val="001E1C11"/>
    <w:rsid w:val="001E37CE"/>
    <w:rsid w:val="00215872"/>
    <w:rsid w:val="00221AF1"/>
    <w:rsid w:val="0022331F"/>
    <w:rsid w:val="002366C7"/>
    <w:rsid w:val="00242211"/>
    <w:rsid w:val="002514AE"/>
    <w:rsid w:val="002764D5"/>
    <w:rsid w:val="00290662"/>
    <w:rsid w:val="002940FF"/>
    <w:rsid w:val="00295763"/>
    <w:rsid w:val="002A302B"/>
    <w:rsid w:val="002A4108"/>
    <w:rsid w:val="002B566F"/>
    <w:rsid w:val="002C3563"/>
    <w:rsid w:val="002D09FC"/>
    <w:rsid w:val="002D30E4"/>
    <w:rsid w:val="002E6899"/>
    <w:rsid w:val="002F2BEF"/>
    <w:rsid w:val="00300DB2"/>
    <w:rsid w:val="0030195F"/>
    <w:rsid w:val="00304E3B"/>
    <w:rsid w:val="00305936"/>
    <w:rsid w:val="00310D30"/>
    <w:rsid w:val="003239DC"/>
    <w:rsid w:val="00330445"/>
    <w:rsid w:val="00331357"/>
    <w:rsid w:val="00347A3F"/>
    <w:rsid w:val="00351112"/>
    <w:rsid w:val="00360E28"/>
    <w:rsid w:val="003629E7"/>
    <w:rsid w:val="00363428"/>
    <w:rsid w:val="003729A7"/>
    <w:rsid w:val="00377901"/>
    <w:rsid w:val="003831BA"/>
    <w:rsid w:val="003A2400"/>
    <w:rsid w:val="003A6A19"/>
    <w:rsid w:val="003B5D75"/>
    <w:rsid w:val="003D0BAB"/>
    <w:rsid w:val="003E58AB"/>
    <w:rsid w:val="003F4864"/>
    <w:rsid w:val="003F624F"/>
    <w:rsid w:val="0041674B"/>
    <w:rsid w:val="00445BEF"/>
    <w:rsid w:val="004475D7"/>
    <w:rsid w:val="004606D6"/>
    <w:rsid w:val="00465686"/>
    <w:rsid w:val="0048076A"/>
    <w:rsid w:val="00491266"/>
    <w:rsid w:val="004B6C0C"/>
    <w:rsid w:val="004C7E69"/>
    <w:rsid w:val="004D3473"/>
    <w:rsid w:val="004F5332"/>
    <w:rsid w:val="004F7962"/>
    <w:rsid w:val="00502C7F"/>
    <w:rsid w:val="00505317"/>
    <w:rsid w:val="00505ABB"/>
    <w:rsid w:val="0050711F"/>
    <w:rsid w:val="00512023"/>
    <w:rsid w:val="0052065B"/>
    <w:rsid w:val="0052533C"/>
    <w:rsid w:val="00537D39"/>
    <w:rsid w:val="0054363A"/>
    <w:rsid w:val="0054682B"/>
    <w:rsid w:val="0056596A"/>
    <w:rsid w:val="00573BF8"/>
    <w:rsid w:val="0059597A"/>
    <w:rsid w:val="005A0533"/>
    <w:rsid w:val="005A0C8C"/>
    <w:rsid w:val="005A2FAF"/>
    <w:rsid w:val="005B7079"/>
    <w:rsid w:val="005C6ABA"/>
    <w:rsid w:val="005D0099"/>
    <w:rsid w:val="005D0D65"/>
    <w:rsid w:val="005D3248"/>
    <w:rsid w:val="005F3A84"/>
    <w:rsid w:val="0061667F"/>
    <w:rsid w:val="006209A0"/>
    <w:rsid w:val="00630FC9"/>
    <w:rsid w:val="00633605"/>
    <w:rsid w:val="00637A39"/>
    <w:rsid w:val="00641E9E"/>
    <w:rsid w:val="0064694E"/>
    <w:rsid w:val="00651957"/>
    <w:rsid w:val="00656D3E"/>
    <w:rsid w:val="00667951"/>
    <w:rsid w:val="00671C3E"/>
    <w:rsid w:val="00674210"/>
    <w:rsid w:val="00686ADF"/>
    <w:rsid w:val="00690F05"/>
    <w:rsid w:val="00691312"/>
    <w:rsid w:val="006A6C83"/>
    <w:rsid w:val="006C5965"/>
    <w:rsid w:val="006D37E0"/>
    <w:rsid w:val="006E7551"/>
    <w:rsid w:val="006E7B7B"/>
    <w:rsid w:val="006F4FD4"/>
    <w:rsid w:val="006F7DC1"/>
    <w:rsid w:val="00717483"/>
    <w:rsid w:val="0073179A"/>
    <w:rsid w:val="00744659"/>
    <w:rsid w:val="007621D9"/>
    <w:rsid w:val="00765676"/>
    <w:rsid w:val="007758D6"/>
    <w:rsid w:val="00775FFE"/>
    <w:rsid w:val="007E614F"/>
    <w:rsid w:val="007E6731"/>
    <w:rsid w:val="007F541D"/>
    <w:rsid w:val="007F738E"/>
    <w:rsid w:val="008019AB"/>
    <w:rsid w:val="00804128"/>
    <w:rsid w:val="0080536C"/>
    <w:rsid w:val="008229EC"/>
    <w:rsid w:val="008465FB"/>
    <w:rsid w:val="008535CB"/>
    <w:rsid w:val="008615DD"/>
    <w:rsid w:val="00867FEF"/>
    <w:rsid w:val="00896563"/>
    <w:rsid w:val="008A7CD1"/>
    <w:rsid w:val="008B60AE"/>
    <w:rsid w:val="008C0DDC"/>
    <w:rsid w:val="008C44FA"/>
    <w:rsid w:val="008D3D20"/>
    <w:rsid w:val="008E1DC5"/>
    <w:rsid w:val="008E4C04"/>
    <w:rsid w:val="008F7BBB"/>
    <w:rsid w:val="00916FBC"/>
    <w:rsid w:val="00932DF1"/>
    <w:rsid w:val="0094135A"/>
    <w:rsid w:val="00944583"/>
    <w:rsid w:val="00945532"/>
    <w:rsid w:val="00984B1D"/>
    <w:rsid w:val="00990DC9"/>
    <w:rsid w:val="009935D2"/>
    <w:rsid w:val="009945AE"/>
    <w:rsid w:val="009A03C3"/>
    <w:rsid w:val="009A299A"/>
    <w:rsid w:val="009A2AD0"/>
    <w:rsid w:val="009A4249"/>
    <w:rsid w:val="009C561E"/>
    <w:rsid w:val="009C7678"/>
    <w:rsid w:val="009D429E"/>
    <w:rsid w:val="009E771E"/>
    <w:rsid w:val="009F04BF"/>
    <w:rsid w:val="009F601E"/>
    <w:rsid w:val="00A06DD5"/>
    <w:rsid w:val="00A3047D"/>
    <w:rsid w:val="00A55327"/>
    <w:rsid w:val="00A66D0D"/>
    <w:rsid w:val="00A725E1"/>
    <w:rsid w:val="00A76BD5"/>
    <w:rsid w:val="00A77EC6"/>
    <w:rsid w:val="00A81CEE"/>
    <w:rsid w:val="00A85D58"/>
    <w:rsid w:val="00A94178"/>
    <w:rsid w:val="00A97F75"/>
    <w:rsid w:val="00AA16BC"/>
    <w:rsid w:val="00AA42B2"/>
    <w:rsid w:val="00AB6906"/>
    <w:rsid w:val="00AF273A"/>
    <w:rsid w:val="00AF5759"/>
    <w:rsid w:val="00B07693"/>
    <w:rsid w:val="00B14A74"/>
    <w:rsid w:val="00B312B6"/>
    <w:rsid w:val="00B31382"/>
    <w:rsid w:val="00B32266"/>
    <w:rsid w:val="00B349F6"/>
    <w:rsid w:val="00B4105F"/>
    <w:rsid w:val="00B4264F"/>
    <w:rsid w:val="00B51984"/>
    <w:rsid w:val="00B57634"/>
    <w:rsid w:val="00B62DC9"/>
    <w:rsid w:val="00B7063A"/>
    <w:rsid w:val="00B768AA"/>
    <w:rsid w:val="00B77AD1"/>
    <w:rsid w:val="00B77AFB"/>
    <w:rsid w:val="00B82C80"/>
    <w:rsid w:val="00BA3EF4"/>
    <w:rsid w:val="00BA5AC3"/>
    <w:rsid w:val="00BC7CEA"/>
    <w:rsid w:val="00BD161F"/>
    <w:rsid w:val="00BE13A6"/>
    <w:rsid w:val="00BE1F5D"/>
    <w:rsid w:val="00BE478F"/>
    <w:rsid w:val="00BE6AA3"/>
    <w:rsid w:val="00BF1CB8"/>
    <w:rsid w:val="00BF4D56"/>
    <w:rsid w:val="00BF6F59"/>
    <w:rsid w:val="00C002B0"/>
    <w:rsid w:val="00C07C59"/>
    <w:rsid w:val="00C20167"/>
    <w:rsid w:val="00C23CDA"/>
    <w:rsid w:val="00C26A2B"/>
    <w:rsid w:val="00C27AD7"/>
    <w:rsid w:val="00C333FD"/>
    <w:rsid w:val="00C34076"/>
    <w:rsid w:val="00C42634"/>
    <w:rsid w:val="00C42EA6"/>
    <w:rsid w:val="00C432CE"/>
    <w:rsid w:val="00C51D21"/>
    <w:rsid w:val="00C53FF9"/>
    <w:rsid w:val="00CA6CD0"/>
    <w:rsid w:val="00CB019B"/>
    <w:rsid w:val="00CB07D8"/>
    <w:rsid w:val="00CB752A"/>
    <w:rsid w:val="00CF414C"/>
    <w:rsid w:val="00CF6972"/>
    <w:rsid w:val="00CF7ED4"/>
    <w:rsid w:val="00D25BCA"/>
    <w:rsid w:val="00D37A63"/>
    <w:rsid w:val="00D51C0C"/>
    <w:rsid w:val="00D550C4"/>
    <w:rsid w:val="00D57868"/>
    <w:rsid w:val="00D67F8C"/>
    <w:rsid w:val="00D73A62"/>
    <w:rsid w:val="00D765DA"/>
    <w:rsid w:val="00D80F83"/>
    <w:rsid w:val="00D832D5"/>
    <w:rsid w:val="00DB450F"/>
    <w:rsid w:val="00DD7F32"/>
    <w:rsid w:val="00DE6080"/>
    <w:rsid w:val="00DE6682"/>
    <w:rsid w:val="00DF64DF"/>
    <w:rsid w:val="00E135BD"/>
    <w:rsid w:val="00E52476"/>
    <w:rsid w:val="00E62737"/>
    <w:rsid w:val="00E75CB6"/>
    <w:rsid w:val="00E87138"/>
    <w:rsid w:val="00EA1B66"/>
    <w:rsid w:val="00EA5236"/>
    <w:rsid w:val="00EC013A"/>
    <w:rsid w:val="00ED20AF"/>
    <w:rsid w:val="00ED5800"/>
    <w:rsid w:val="00EE0B78"/>
    <w:rsid w:val="00F039CC"/>
    <w:rsid w:val="00F27111"/>
    <w:rsid w:val="00F35848"/>
    <w:rsid w:val="00F51DCC"/>
    <w:rsid w:val="00F62F65"/>
    <w:rsid w:val="00F74902"/>
    <w:rsid w:val="00F75306"/>
    <w:rsid w:val="00F95295"/>
    <w:rsid w:val="00FA5AFF"/>
    <w:rsid w:val="00FB13FA"/>
    <w:rsid w:val="00FB25A8"/>
    <w:rsid w:val="00FB3873"/>
    <w:rsid w:val="00FE0F15"/>
    <w:rsid w:val="00FE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1A22E4"/>
  <w15:chartTrackingRefBased/>
  <w15:docId w15:val="{FA679C57-EBC9-4B4E-A773-5F1E61E0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style-span">
    <w:name w:val="apple-style-span"/>
    <w:basedOn w:val="Bekezdsalapbettpusa"/>
    <w:rsid w:val="001E1C11"/>
  </w:style>
  <w:style w:type="character" w:customStyle="1" w:styleId="apple-converted-space">
    <w:name w:val="apple-converted-space"/>
    <w:basedOn w:val="Bekezdsalapbettpusa"/>
    <w:rsid w:val="001E1C11"/>
  </w:style>
  <w:style w:type="paragraph" w:customStyle="1" w:styleId="Default">
    <w:name w:val="Default"/>
    <w:rsid w:val="000B2F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Vltozat">
    <w:name w:val="Revision"/>
    <w:hidden/>
    <w:uiPriority w:val="99"/>
    <w:semiHidden/>
    <w:rsid w:val="00221A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1533</Words>
  <Characters>11181</Characters>
  <Application>Microsoft Office Word</Application>
  <DocSecurity>0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Pécsi Tudományegyetem Közgazdaságtudományi Kara Tudományos Diákkörének Működési Szabályzata</vt:lpstr>
    </vt:vector>
  </TitlesOfParts>
  <Company>PTE KTK</Company>
  <LinksUpToDate>false</LinksUpToDate>
  <CharactersWithSpaces>12689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Pécsi Tudományegyetem Közgazdaságtudományi Kara Tudományos Diákkörének Működési Szabályzata</dc:title>
  <dc:subject/>
  <dc:creator>Indian2</dc:creator>
  <cp:keywords/>
  <cp:lastModifiedBy>Dr. Fehér Zsófia</cp:lastModifiedBy>
  <cp:revision>2</cp:revision>
  <dcterms:created xsi:type="dcterms:W3CDTF">2026-03-31T20:54:00Z</dcterms:created>
  <dcterms:modified xsi:type="dcterms:W3CDTF">2026-03-31T20:54:00Z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f01ff754-c515-45a8-b8ac-d4f5074b9511</vt:lpwstr>
  </property>
</Properties>
</file>