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B45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4A61ED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99B8A88" w14:textId="77777777"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14:paraId="7F1E372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537CD42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8CA2609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E21DE91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4643C78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4706844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375CB3AC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A65A572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14:paraId="2889100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39DCDA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14:paraId="1FDA630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1815B021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14:paraId="13129864" w14:textId="77777777"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14:paraId="4B6CE2D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2B47E40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000456D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14:paraId="4184053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0C9E988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D10A4C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28D493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13FBF9D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A6E00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4DEE096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FEC3EA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2BDB37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E85AB5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14:paraId="490A10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14:paraId="221C63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14:paraId="361659D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12827849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24D4BCE" w14:textId="6E8F2922"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BB2D25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BB2D25">
        <w:rPr>
          <w:rFonts w:ascii="Garamond" w:hAnsi="Garamond"/>
          <w:b/>
          <w:bCs/>
          <w:sz w:val="28"/>
          <w:szCs w:val="28"/>
        </w:rPr>
        <w:t>20</w:t>
      </w:r>
      <w:r w:rsidR="00512C47" w:rsidRPr="00BB2D25">
        <w:rPr>
          <w:rFonts w:ascii="Garamond" w:hAnsi="Garamond"/>
          <w:b/>
          <w:bCs/>
          <w:sz w:val="28"/>
          <w:szCs w:val="28"/>
        </w:rPr>
        <w:t>2</w:t>
      </w:r>
      <w:r w:rsidR="009D3D9A">
        <w:rPr>
          <w:rFonts w:ascii="Garamond" w:hAnsi="Garamond"/>
          <w:b/>
          <w:bCs/>
          <w:sz w:val="28"/>
          <w:szCs w:val="28"/>
        </w:rPr>
        <w:t>2</w:t>
      </w:r>
      <w:r w:rsidRPr="00BB2D25">
        <w:rPr>
          <w:rFonts w:ascii="Garamond" w:hAnsi="Garamond"/>
          <w:b/>
          <w:bCs/>
          <w:sz w:val="28"/>
          <w:szCs w:val="28"/>
        </w:rPr>
        <w:t xml:space="preserve">. </w:t>
      </w:r>
      <w:r w:rsidR="006A4708">
        <w:rPr>
          <w:rFonts w:ascii="Garamond" w:hAnsi="Garamond"/>
          <w:b/>
          <w:bCs/>
          <w:sz w:val="28"/>
          <w:szCs w:val="28"/>
        </w:rPr>
        <w:t>augusztus</w:t>
      </w:r>
    </w:p>
    <w:p w14:paraId="5A61FC05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C0E3204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7A1BA5D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227765D1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989C935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15F8DEA2" w14:textId="09CE2C9C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</w:p>
    <w:p w14:paraId="0781A14E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15E682" w14:textId="35E1AFD8" w:rsidR="006D2490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</w:t>
      </w:r>
      <w:r w:rsidR="00512C47">
        <w:rPr>
          <w:rFonts w:ascii="Garamond" w:hAnsi="Garamond" w:cs="Times New Roman"/>
          <w:lang w:val="hu-HU"/>
        </w:rPr>
        <w:t>2</w:t>
      </w:r>
      <w:r w:rsidR="00464FEA">
        <w:rPr>
          <w:rFonts w:ascii="Garamond" w:hAnsi="Garamond" w:cs="Times New Roman"/>
          <w:lang w:val="hu-HU"/>
        </w:rPr>
        <w:t>2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</w:t>
      </w:r>
      <w:r w:rsidR="00464FEA">
        <w:rPr>
          <w:rFonts w:ascii="Garamond" w:hAnsi="Garamond" w:cs="Times New Roman"/>
          <w:lang w:val="hu-HU"/>
        </w:rPr>
        <w:t>3</w:t>
      </w:r>
      <w:r w:rsidRPr="009A2438">
        <w:rPr>
          <w:rFonts w:ascii="Garamond" w:hAnsi="Garamond" w:cs="Times New Roman"/>
          <w:lang w:val="hu-HU"/>
        </w:rPr>
        <w:t xml:space="preserve">. tanévre vonatkozó pályázatokat </w:t>
      </w:r>
      <w:r w:rsidR="00512C47">
        <w:rPr>
          <w:rFonts w:ascii="Garamond" w:hAnsi="Garamond" w:cs="Times New Roman"/>
          <w:lang w:val="hu-HU"/>
        </w:rPr>
        <w:t>a Pécsi Tudományegyetem honlapján:</w:t>
      </w:r>
    </w:p>
    <w:p w14:paraId="4A38D368" w14:textId="77777777" w:rsidR="00512C47" w:rsidRDefault="00162130" w:rsidP="00512C47">
      <w:pPr>
        <w:pStyle w:val="NormlWeb"/>
        <w:jc w:val="center"/>
        <w:rPr>
          <w:rFonts w:ascii="Calibri" w:hAnsi="Calibri" w:cs="Calibri"/>
          <w:color w:val="000000"/>
        </w:rPr>
      </w:pPr>
      <w:hyperlink r:id="rId10" w:history="1">
        <w:r w:rsidR="00512C47">
          <w:rPr>
            <w:rStyle w:val="Hiperhivatkozs"/>
            <w:rFonts w:ascii="Calibri" w:hAnsi="Calibri" w:cs="Calibri"/>
            <w:b/>
            <w:bCs/>
            <w:sz w:val="28"/>
            <w:szCs w:val="28"/>
          </w:rPr>
          <w:t>https://pte.hu/hu/jelentkezes-doktori-kepzesre</w:t>
        </w:r>
      </w:hyperlink>
    </w:p>
    <w:p w14:paraId="01130FE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lehet feltölteni.</w:t>
      </w:r>
    </w:p>
    <w:p w14:paraId="5354EF1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7C64788D" w14:textId="77777777" w:rsidR="00512C47" w:rsidRPr="009A2438" w:rsidRDefault="00512C47" w:rsidP="00512C47">
      <w:pPr>
        <w:pStyle w:val="Szvegtrzs"/>
        <w:autoSpaceDE/>
        <w:autoSpaceDN/>
        <w:jc w:val="left"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Kiegészítő információk:</w:t>
      </w:r>
      <w:r>
        <w:rPr>
          <w:rFonts w:ascii="Garamond" w:hAnsi="Garamond" w:cs="Times New Roman"/>
          <w:lang w:val="hu-HU"/>
        </w:rPr>
        <w:br/>
      </w:r>
      <w:hyperlink r:id="rId11" w:history="1">
        <w:r w:rsidRPr="00A21900">
          <w:rPr>
            <w:rStyle w:val="Hiperhivatkozs"/>
            <w:rFonts w:ascii="Garamond" w:hAnsi="Garamond" w:cs="Times New Roman"/>
            <w:lang w:val="hu-HU"/>
          </w:rPr>
          <w:t>https://ktk.pte.hu/hu/kepzesek/doktori-kepzesek/gazdalkodastani-doktori-iskola</w:t>
        </w:r>
      </w:hyperlink>
      <w:r>
        <w:rPr>
          <w:rFonts w:ascii="Garamond" w:hAnsi="Garamond" w:cs="Times New Roman"/>
          <w:lang w:val="hu-HU"/>
        </w:rPr>
        <w:t xml:space="preserve"> </w:t>
      </w:r>
    </w:p>
    <w:p w14:paraId="3571BDEC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678FD495" w14:textId="575C94F4" w:rsidR="006D2490" w:rsidRPr="00BB2D25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</w:t>
      </w:r>
      <w:r w:rsidRPr="00BB2D25">
        <w:rPr>
          <w:rFonts w:ascii="Garamond" w:hAnsi="Garamond"/>
          <w:b/>
          <w:bCs/>
          <w:sz w:val="32"/>
          <w:szCs w:val="32"/>
        </w:rPr>
        <w:t>: 20</w:t>
      </w:r>
      <w:r w:rsidR="00512C47" w:rsidRPr="00BB2D25">
        <w:rPr>
          <w:rFonts w:ascii="Garamond" w:hAnsi="Garamond"/>
          <w:b/>
          <w:bCs/>
          <w:sz w:val="32"/>
          <w:szCs w:val="32"/>
        </w:rPr>
        <w:t>2</w:t>
      </w:r>
      <w:r w:rsidR="00D478B4" w:rsidRPr="00BB2D25">
        <w:rPr>
          <w:rFonts w:ascii="Garamond" w:hAnsi="Garamond"/>
          <w:b/>
          <w:bCs/>
          <w:sz w:val="32"/>
          <w:szCs w:val="32"/>
        </w:rPr>
        <w:t>2</w:t>
      </w:r>
      <w:r w:rsidRPr="00BB2D25">
        <w:rPr>
          <w:rFonts w:ascii="Garamond" w:hAnsi="Garamond"/>
          <w:b/>
          <w:bCs/>
          <w:sz w:val="32"/>
          <w:szCs w:val="32"/>
        </w:rPr>
        <w:t xml:space="preserve">. </w:t>
      </w:r>
      <w:r w:rsidR="00DC3ABE">
        <w:rPr>
          <w:rFonts w:ascii="Garamond" w:hAnsi="Garamond"/>
          <w:b/>
          <w:bCs/>
          <w:sz w:val="32"/>
          <w:szCs w:val="32"/>
        </w:rPr>
        <w:t>augusztus 22</w:t>
      </w:r>
      <w:r w:rsidRPr="00BB2D25">
        <w:rPr>
          <w:rFonts w:ascii="Garamond" w:hAnsi="Garamond"/>
          <w:b/>
          <w:bCs/>
          <w:sz w:val="32"/>
          <w:szCs w:val="32"/>
        </w:rPr>
        <w:t>.</w:t>
      </w:r>
    </w:p>
    <w:p w14:paraId="13DB4DC5" w14:textId="77777777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F4338C9" w14:textId="3F4ABC81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BB2D25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BB2D25">
        <w:rPr>
          <w:rFonts w:ascii="Garamond" w:hAnsi="Garamond"/>
          <w:b/>
          <w:sz w:val="28"/>
          <w:szCs w:val="28"/>
        </w:rPr>
        <w:t>20</w:t>
      </w:r>
      <w:r w:rsidR="00512C47" w:rsidRPr="00BB2D25">
        <w:rPr>
          <w:rFonts w:ascii="Garamond" w:hAnsi="Garamond"/>
          <w:b/>
          <w:sz w:val="28"/>
          <w:szCs w:val="28"/>
        </w:rPr>
        <w:t>2</w:t>
      </w:r>
      <w:r w:rsidR="00D478B4" w:rsidRPr="00BB2D25">
        <w:rPr>
          <w:rFonts w:ascii="Garamond" w:hAnsi="Garamond"/>
          <w:b/>
          <w:sz w:val="28"/>
          <w:szCs w:val="28"/>
        </w:rPr>
        <w:t>2</w:t>
      </w:r>
      <w:r w:rsidRPr="00BB2D25">
        <w:rPr>
          <w:rFonts w:ascii="Garamond" w:hAnsi="Garamond"/>
          <w:b/>
          <w:sz w:val="28"/>
          <w:szCs w:val="28"/>
        </w:rPr>
        <w:t>. </w:t>
      </w:r>
      <w:r w:rsidR="00DC3ABE">
        <w:rPr>
          <w:rFonts w:ascii="Garamond" w:hAnsi="Garamond"/>
          <w:b/>
          <w:sz w:val="28"/>
          <w:szCs w:val="28"/>
        </w:rPr>
        <w:t>augusztus 30-</w:t>
      </w:r>
    </w:p>
    <w:p w14:paraId="30E65608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0F7F30AC" w14:textId="4154D0A1" w:rsidR="001C6F41" w:rsidRPr="00BB2D25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 xml:space="preserve">A doktori képzésben részt vevő </w:t>
      </w:r>
      <w:r w:rsidR="00F51FEF" w:rsidRPr="00BB2D25">
        <w:rPr>
          <w:rFonts w:ascii="Garamond" w:hAnsi="Garamond"/>
          <w:sz w:val="28"/>
        </w:rPr>
        <w:t>önköltséges</w:t>
      </w:r>
      <w:r w:rsidR="006D2490" w:rsidRPr="00BB2D25">
        <w:rPr>
          <w:rFonts w:ascii="Garamond" w:hAnsi="Garamond"/>
          <w:sz w:val="28"/>
        </w:rPr>
        <w:t xml:space="preserve"> hallgatók az I–II–III–IV. </w:t>
      </w:r>
      <w:r w:rsidRPr="00BB2D25">
        <w:rPr>
          <w:rFonts w:ascii="Garamond" w:hAnsi="Garamond"/>
          <w:sz w:val="28"/>
        </w:rPr>
        <w:t xml:space="preserve">évfolyamon költségtérítést fizetnek, a </w:t>
      </w:r>
      <w:r w:rsidR="003340B5" w:rsidRPr="00BB2D25">
        <w:rPr>
          <w:rFonts w:ascii="Garamond" w:hAnsi="Garamond"/>
          <w:sz w:val="28"/>
        </w:rPr>
        <w:t>20</w:t>
      </w:r>
      <w:r w:rsidR="00512C47" w:rsidRPr="00BB2D25">
        <w:rPr>
          <w:rFonts w:ascii="Garamond" w:hAnsi="Garamond"/>
          <w:sz w:val="28"/>
        </w:rPr>
        <w:t>2</w:t>
      </w:r>
      <w:r w:rsidR="00D478B4" w:rsidRPr="00BB2D25">
        <w:rPr>
          <w:rFonts w:ascii="Garamond" w:hAnsi="Garamond"/>
          <w:sz w:val="28"/>
        </w:rPr>
        <w:t>2</w:t>
      </w:r>
      <w:r w:rsidRPr="00BB2D25">
        <w:rPr>
          <w:rFonts w:ascii="Garamond" w:hAnsi="Garamond"/>
          <w:sz w:val="28"/>
        </w:rPr>
        <w:t>/20</w:t>
      </w:r>
      <w:r w:rsidR="00512C47" w:rsidRPr="00BB2D25">
        <w:rPr>
          <w:rFonts w:ascii="Garamond" w:hAnsi="Garamond"/>
          <w:sz w:val="28"/>
        </w:rPr>
        <w:t>2</w:t>
      </w:r>
      <w:r w:rsidR="00D478B4" w:rsidRPr="00BB2D25">
        <w:rPr>
          <w:rFonts w:ascii="Garamond" w:hAnsi="Garamond"/>
          <w:sz w:val="28"/>
        </w:rPr>
        <w:t>3</w:t>
      </w:r>
      <w:r w:rsidRPr="00BB2D25">
        <w:rPr>
          <w:rFonts w:ascii="Garamond" w:hAnsi="Garamond"/>
          <w:sz w:val="28"/>
        </w:rPr>
        <w:t xml:space="preserve">. tanévben </w:t>
      </w:r>
      <w:proofErr w:type="gramStart"/>
      <w:r w:rsidR="00832764" w:rsidRPr="00BB2D25">
        <w:rPr>
          <w:rFonts w:ascii="Garamond" w:hAnsi="Garamond"/>
          <w:sz w:val="28"/>
        </w:rPr>
        <w:t>4</w:t>
      </w:r>
      <w:r w:rsidR="00512C47" w:rsidRPr="00BB2D25">
        <w:rPr>
          <w:rFonts w:ascii="Garamond" w:hAnsi="Garamond"/>
          <w:sz w:val="28"/>
        </w:rPr>
        <w:t>00</w:t>
      </w:r>
      <w:r w:rsidRPr="00BB2D25">
        <w:rPr>
          <w:rFonts w:ascii="Garamond" w:hAnsi="Garamond"/>
          <w:sz w:val="28"/>
        </w:rPr>
        <w:t>.000,-</w:t>
      </w:r>
      <w:proofErr w:type="gramEnd"/>
      <w:r w:rsidRPr="00BB2D25">
        <w:rPr>
          <w:rFonts w:ascii="Garamond" w:hAnsi="Garamond"/>
          <w:sz w:val="28"/>
        </w:rPr>
        <w:t xml:space="preserve"> Ft/félév.</w:t>
      </w:r>
    </w:p>
    <w:p w14:paraId="1D7B0011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BE4DE4" w14:textId="77777777" w:rsidR="001C6F41" w:rsidRPr="00BB2D25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14:paraId="29BEE2C5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B0E6939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E77864" w14:textId="360EF871"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 xml:space="preserve">Pécs, </w:t>
      </w:r>
      <w:r w:rsidR="003340B5" w:rsidRPr="00BB2D25">
        <w:rPr>
          <w:rFonts w:ascii="Garamond" w:hAnsi="Garamond"/>
          <w:sz w:val="28"/>
        </w:rPr>
        <w:t>20</w:t>
      </w:r>
      <w:r w:rsidR="00227973" w:rsidRPr="00BB2D25">
        <w:rPr>
          <w:rFonts w:ascii="Garamond" w:hAnsi="Garamond"/>
          <w:sz w:val="28"/>
        </w:rPr>
        <w:t>2</w:t>
      </w:r>
      <w:r w:rsidR="00464FEA">
        <w:rPr>
          <w:rFonts w:ascii="Garamond" w:hAnsi="Garamond"/>
          <w:sz w:val="28"/>
        </w:rPr>
        <w:t>2</w:t>
      </w:r>
      <w:r w:rsidRPr="00BB2D25">
        <w:rPr>
          <w:rFonts w:ascii="Garamond" w:hAnsi="Garamond"/>
          <w:sz w:val="28"/>
        </w:rPr>
        <w:t xml:space="preserve">. </w:t>
      </w:r>
      <w:r w:rsidR="001C4FB9">
        <w:rPr>
          <w:rFonts w:ascii="Garamond" w:hAnsi="Garamond"/>
          <w:sz w:val="28"/>
        </w:rPr>
        <w:t>július 14.</w:t>
      </w:r>
    </w:p>
    <w:p w14:paraId="55024F2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54A32ED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488CE7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6152467E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Dr. Schepp Zoltán</w:t>
      </w:r>
    </w:p>
    <w:p w14:paraId="2C67420A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dékán</w:t>
      </w:r>
    </w:p>
    <w:p w14:paraId="105D538D" w14:textId="77777777"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14:paraId="675AFA7F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2848D5C5" w14:textId="77777777"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14:paraId="0D3DB52B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14:paraId="135BFADB" w14:textId="77777777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14:paraId="4AB35AEE" w14:textId="5D9B0183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</w:t>
      </w:r>
      <w:r w:rsidR="003222AC">
        <w:rPr>
          <w:rFonts w:ascii="Garamond" w:hAnsi="Garamond"/>
        </w:rPr>
        <w:t>z</w:t>
      </w:r>
      <w:r w:rsidRPr="009A2438">
        <w:rPr>
          <w:rFonts w:ascii="Garamond" w:hAnsi="Garamond"/>
        </w:rPr>
        <w:t xml:space="preserve"> </w:t>
      </w:r>
      <w:r w:rsidR="003222AC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doktori képzésben részt vevő hallgató a szervezett képzési programokat látogatja, </w:t>
      </w:r>
      <w:r w:rsidR="00F51FEF">
        <w:rPr>
          <w:rFonts w:ascii="Garamond" w:hAnsi="Garamond"/>
        </w:rPr>
        <w:t>önköltséget</w:t>
      </w:r>
      <w:r w:rsidRPr="009A2438">
        <w:rPr>
          <w:rFonts w:ascii="Garamond" w:hAnsi="Garamond"/>
        </w:rPr>
        <w:t xml:space="preserve"> fizet, ösztöndíjra nem jogosult.</w:t>
      </w:r>
    </w:p>
    <w:p w14:paraId="5DB43F37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14:paraId="66EA0A41" w14:textId="77777777"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Kar </w:t>
      </w:r>
      <w:r w:rsidR="006469EA">
        <w:rPr>
          <w:rFonts w:ascii="Garamond" w:hAnsi="Garamond"/>
        </w:rPr>
        <w:t xml:space="preserve">Doktori és Habilitációs Tanácsa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14:paraId="3B984152" w14:textId="77777777"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14:paraId="5B0EBB3B" w14:textId="77777777" w:rsidR="006D2490" w:rsidRPr="009A2438" w:rsidRDefault="006469EA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>
        <w:rPr>
          <w:rFonts w:ascii="Garamond" w:hAnsi="Garamond"/>
        </w:rPr>
        <w:t>gazdaságtudományi képzési területen szerzett mesterdiploma</w:t>
      </w:r>
      <w:r w:rsidR="006D2490" w:rsidRPr="009A2438">
        <w:rPr>
          <w:rFonts w:ascii="Garamond" w:hAnsi="Garamond"/>
        </w:rPr>
        <w:t>,</w:t>
      </w:r>
    </w:p>
    <w:p w14:paraId="5F31BB78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megfelelő intellektuális kapacitás, </w:t>
      </w:r>
    </w:p>
    <w:p w14:paraId="11F1E029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 nyelv legalább olvasás- és beszédértés szintű ismerete,</w:t>
      </w:r>
    </w:p>
    <w:p w14:paraId="07313826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angol, német, francia</w:t>
      </w:r>
      <w:r w:rsidR="006469EA">
        <w:rPr>
          <w:rFonts w:ascii="Garamond" w:hAnsi="Garamond"/>
        </w:rPr>
        <w:t>, spanyol, orosz</w:t>
      </w:r>
      <w:r w:rsidRPr="009A2438">
        <w:rPr>
          <w:rFonts w:ascii="Garamond" w:hAnsi="Garamond"/>
        </w:rPr>
        <w:t xml:space="preserve"> nyelv valamelyikének magas szintű ismerete.</w:t>
      </w:r>
    </w:p>
    <w:p w14:paraId="0643C693" w14:textId="77777777" w:rsidR="006D2490" w:rsidRPr="009A2438" w:rsidRDefault="006D2490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programban külföldi hallgatók is részt vehetnek.</w:t>
      </w:r>
    </w:p>
    <w:p w14:paraId="7125B4CA" w14:textId="77777777" w:rsidR="00D10957" w:rsidRDefault="001C6F41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A22126">
        <w:rPr>
          <w:rFonts w:ascii="Garamond" w:hAnsi="Garamond"/>
        </w:rPr>
        <w:t>z állami</w:t>
      </w:r>
      <w:r w:rsidR="00315C9C" w:rsidRPr="009A2438">
        <w:rPr>
          <w:rFonts w:ascii="Garamond" w:hAnsi="Garamond"/>
        </w:rPr>
        <w:t xml:space="preserve"> </w:t>
      </w:r>
      <w:r w:rsidR="006469EA">
        <w:rPr>
          <w:rFonts w:ascii="Garamond" w:hAnsi="Garamond"/>
        </w:rPr>
        <w:t>ösztöndíjas</w:t>
      </w:r>
      <w:r w:rsidR="00315C9C" w:rsidRPr="009A2438">
        <w:rPr>
          <w:rFonts w:ascii="Garamond" w:hAnsi="Garamond"/>
        </w:rPr>
        <w:t xml:space="preserve"> és a</w:t>
      </w:r>
      <w:r w:rsidR="00A22126">
        <w:rPr>
          <w:rFonts w:ascii="Garamond" w:hAnsi="Garamond"/>
        </w:rPr>
        <w:t>z</w:t>
      </w:r>
      <w:r w:rsidR="00315C9C" w:rsidRPr="009A2438">
        <w:rPr>
          <w:rFonts w:ascii="Garamond" w:hAnsi="Garamond"/>
        </w:rPr>
        <w:t xml:space="preserve"> </w:t>
      </w:r>
      <w:r w:rsidR="00A22126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képzés megkülönböztetése nem érinti a program tartalmát, minden résztvevő ugyanazon kurzus hallgatója.</w:t>
      </w:r>
    </w:p>
    <w:p w14:paraId="4E959CD9" w14:textId="77777777"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</w:t>
      </w:r>
      <w:r w:rsidR="00512C47">
        <w:rPr>
          <w:rFonts w:ascii="Garamond" w:hAnsi="Garamond"/>
          <w:b/>
          <w:bCs/>
        </w:rPr>
        <w:t>hez a PTE honlapon kért anyagokat kell csatolni:</w:t>
      </w:r>
    </w:p>
    <w:p w14:paraId="5CAF0739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önéletrajz</w:t>
      </w:r>
      <w:r w:rsidR="00883951">
        <w:rPr>
          <w:rFonts w:ascii="Garamond" w:hAnsi="Garamond"/>
        </w:rPr>
        <w:t xml:space="preserve"> (formátum választható)</w:t>
      </w:r>
      <w:r w:rsidRPr="00512C47">
        <w:rPr>
          <w:rFonts w:ascii="Garamond" w:hAnsi="Garamond"/>
        </w:rPr>
        <w:t>,</w:t>
      </w:r>
    </w:p>
    <w:p w14:paraId="41B5001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kutatási terv,</w:t>
      </w:r>
    </w:p>
    <w:p w14:paraId="57D1E2F3" w14:textId="4958AC56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két ajánlás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egyik a témavezetőé – sablon a KTK honlapról letölthető</w:t>
      </w:r>
      <w:r>
        <w:rPr>
          <w:rFonts w:ascii="Garamond" w:hAnsi="Garamond"/>
        </w:rPr>
        <w:br/>
        <w:t>másik az intézet</w:t>
      </w:r>
      <w:r w:rsidR="001D2ECF">
        <w:rPr>
          <w:rFonts w:ascii="Garamond" w:hAnsi="Garamond"/>
        </w:rPr>
        <w:t>igazgatóé</w:t>
      </w:r>
      <w:r>
        <w:rPr>
          <w:rFonts w:ascii="Garamond" w:hAnsi="Garamond"/>
        </w:rPr>
        <w:t xml:space="preserve"> – sablon a KTK honlapról letölthető</w:t>
      </w:r>
      <w:r w:rsidR="00883951">
        <w:rPr>
          <w:rFonts w:ascii="Garamond" w:hAnsi="Garamond"/>
        </w:rPr>
        <w:br/>
        <w:t>mindkét ajánlást a jelen helyzetben az oktatói e-mail tartalmának csatolásával is elfogadjuk.</w:t>
      </w:r>
    </w:p>
    <w:p w14:paraId="29FC67A2" w14:textId="2C83D802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egyetemi diploma másolata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>alap- és mesterképzési oklevél</w:t>
      </w:r>
      <w:r w:rsidR="00883951">
        <w:rPr>
          <w:rFonts w:ascii="Garamond" w:hAnsi="Garamond"/>
        </w:rPr>
        <w:t xml:space="preserve"> is)</w:t>
      </w:r>
      <w:r w:rsidRPr="00512C47">
        <w:rPr>
          <w:rFonts w:ascii="Garamond" w:hAnsi="Garamond"/>
        </w:rPr>
        <w:t>,</w:t>
      </w:r>
    </w:p>
    <w:p w14:paraId="53208625" w14:textId="1FDF1DB0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tanulmányi eredményeket tartalmazó igazolás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 xml:space="preserve">alap- és mesterképzési </w:t>
      </w:r>
      <w:r w:rsidR="00883951">
        <w:rPr>
          <w:rFonts w:ascii="Garamond" w:hAnsi="Garamond"/>
        </w:rPr>
        <w:t>is)</w:t>
      </w:r>
      <w:r w:rsidRPr="00512C47">
        <w:rPr>
          <w:rFonts w:ascii="Garamond" w:hAnsi="Garamond"/>
        </w:rPr>
        <w:t>,</w:t>
      </w:r>
    </w:p>
    <w:p w14:paraId="21C7208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korábbi szakmai eredmények igazolása,</w:t>
      </w:r>
    </w:p>
    <w:p w14:paraId="6F384BEF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nyelvismeretet igazoló okirat másolata,</w:t>
      </w:r>
    </w:p>
    <w:p w14:paraId="5DC60F0D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felvételi díj befizetésének igazolása</w:t>
      </w:r>
      <w:r>
        <w:rPr>
          <w:rFonts w:ascii="Garamond" w:hAnsi="Garamond"/>
        </w:rPr>
        <w:br/>
        <w:t>számlaszám és összeg a KTK honlapon</w:t>
      </w:r>
      <w:r w:rsidR="00883951">
        <w:rPr>
          <w:rFonts w:ascii="Garamond" w:hAnsi="Garamond"/>
        </w:rPr>
        <w:t>, az átutalásról szóló elektronikus visszaigazolást kérjük itt.</w:t>
      </w:r>
    </w:p>
    <w:p w14:paraId="123C500D" w14:textId="77777777" w:rsidR="001C6F41" w:rsidRPr="009A2438" w:rsidRDefault="001C6F41" w:rsidP="00512C47">
      <w:pPr>
        <w:keepNext/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Célszerű a jelentkezési laphoz csatolni</w:t>
      </w:r>
    </w:p>
    <w:p w14:paraId="2ED7AC89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szakmai elismeréseket tanúsító másolatokat (pályadíjak, OTDK </w:t>
      </w:r>
      <w:proofErr w:type="gramStart"/>
      <w:r w:rsidRPr="009A2438">
        <w:rPr>
          <w:rFonts w:ascii="Garamond" w:hAnsi="Garamond"/>
        </w:rPr>
        <w:t>helyezések,</w:t>
      </w:r>
      <w:proofErr w:type="gramEnd"/>
      <w:r w:rsidRPr="009A2438">
        <w:rPr>
          <w:rFonts w:ascii="Garamond" w:hAnsi="Garamond"/>
        </w:rPr>
        <w:t xml:space="preserve"> stb.),</w:t>
      </w:r>
    </w:p>
    <w:p w14:paraId="2302C4E2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14:paraId="3C47E606" w14:textId="77777777"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14:paraId="2D503871" w14:textId="77777777" w:rsidR="00AD1B90" w:rsidRPr="009A2438" w:rsidRDefault="001C6F41" w:rsidP="00792D5F">
      <w:pPr>
        <w:pStyle w:val="Cm"/>
        <w:spacing w:before="360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br w:type="page"/>
      </w:r>
      <w:r w:rsidR="00AD1B90" w:rsidRPr="009A2438">
        <w:rPr>
          <w:rFonts w:ascii="Garamond" w:hAnsi="Garamond"/>
          <w:sz w:val="28"/>
          <w:szCs w:val="28"/>
        </w:rPr>
        <w:lastRenderedPageBreak/>
        <w:t>A Gazdálkodástani Doktori Iskola</w:t>
      </w:r>
    </w:p>
    <w:p w14:paraId="79920CBB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  <w:r w:rsidRPr="009A2438">
        <w:rPr>
          <w:rFonts w:ascii="Garamond" w:hAnsi="Garamond"/>
          <w:b/>
          <w:sz w:val="28"/>
          <w:szCs w:val="28"/>
        </w:rPr>
        <w:t xml:space="preserve"> kredit rendszerű oktatási programja</w:t>
      </w:r>
    </w:p>
    <w:p w14:paraId="72FF5F49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</w:p>
    <w:p w14:paraId="49F76F60" w14:textId="77777777" w:rsidR="00A1025E" w:rsidRDefault="00A1025E" w:rsidP="00A1025E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</w:p>
    <w:p w14:paraId="34789975" w14:textId="77777777" w:rsidR="00AD1B90" w:rsidRPr="0003523C" w:rsidRDefault="00AD1B90" w:rsidP="00A1025E">
      <w:pPr>
        <w:ind w:left="360" w:hanging="360"/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Képzési sajátosságok</w:t>
      </w:r>
    </w:p>
    <w:p w14:paraId="11A3E058" w14:textId="77777777" w:rsidR="00AD1B90" w:rsidRPr="009A2438" w:rsidRDefault="00AD1B90" w:rsidP="00AD1B90">
      <w:pPr>
        <w:jc w:val="both"/>
        <w:rPr>
          <w:rFonts w:ascii="Garamond" w:hAnsi="Garamond"/>
          <w:sz w:val="28"/>
          <w:szCs w:val="28"/>
        </w:rPr>
      </w:pPr>
    </w:p>
    <w:p w14:paraId="56E24458" w14:textId="1E474DD8" w:rsidR="00743482" w:rsidRPr="009A2438" w:rsidRDefault="00AD1B90" w:rsidP="00AD1B90">
      <w:pPr>
        <w:numPr>
          <w:ilvl w:val="0"/>
          <w:numId w:val="4"/>
        </w:num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Gazdálkodástani Doktori Iskolában </w:t>
      </w:r>
      <w:r w:rsidR="005C7FDC">
        <w:rPr>
          <w:rFonts w:ascii="Garamond" w:hAnsi="Garamond"/>
          <w:i/>
        </w:rPr>
        <w:t>gazdaságtudományi képzési területen mesterdiplomát szerzett</w:t>
      </w:r>
      <w:r w:rsidRPr="009A2438">
        <w:rPr>
          <w:rFonts w:ascii="Garamond" w:hAnsi="Garamond"/>
        </w:rPr>
        <w:t xml:space="preserve"> hallgatók tanulhatnak. </w:t>
      </w:r>
    </w:p>
    <w:p w14:paraId="50A1A212" w14:textId="69D8460B" w:rsidR="00AD1B90" w:rsidRPr="009A2438" w:rsidRDefault="00AD1B90" w:rsidP="00BB7FB2">
      <w:pPr>
        <w:ind w:left="72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D55D64" w:rsidRPr="009A2438">
        <w:rPr>
          <w:rFonts w:ascii="Garamond" w:hAnsi="Garamond"/>
        </w:rPr>
        <w:t>4</w:t>
      </w:r>
      <w:r w:rsidRPr="009A2438">
        <w:rPr>
          <w:rFonts w:ascii="Garamond" w:hAnsi="Garamond"/>
          <w:i/>
        </w:rPr>
        <w:t xml:space="preserve"> féléves </w:t>
      </w:r>
      <w:r w:rsidR="000522DC" w:rsidRPr="009A2438">
        <w:rPr>
          <w:rFonts w:ascii="Garamond" w:hAnsi="Garamond"/>
          <w:i/>
        </w:rPr>
        <w:t>képzési-kutatási szakasz</w:t>
      </w:r>
      <w:r w:rsidR="00C30637" w:rsidRPr="009A2438">
        <w:rPr>
          <w:rFonts w:ascii="Garamond" w:hAnsi="Garamond"/>
          <w:i/>
        </w:rPr>
        <w:t>ban</w:t>
      </w:r>
      <w:r w:rsidRPr="009A2438">
        <w:rPr>
          <w:rFonts w:ascii="Garamond" w:hAnsi="Garamond"/>
        </w:rPr>
        <w:t xml:space="preserve"> a hallgatók a gazdálkodástudomány a</w:t>
      </w:r>
      <w:r w:rsidR="00BB7FB2" w:rsidRPr="009A2438">
        <w:rPr>
          <w:rFonts w:ascii="Garamond" w:hAnsi="Garamond"/>
        </w:rPr>
        <w:t>zon</w:t>
      </w:r>
      <w:r w:rsidRPr="009A2438">
        <w:rPr>
          <w:rFonts w:ascii="Garamond" w:hAnsi="Garamond"/>
        </w:rPr>
        <w:t xml:space="preserve"> új szakismereteit sajátítják el, amelyek a graduális képzés során szerzett tudásukat növeli</w:t>
      </w:r>
      <w:r w:rsidR="00BB7FB2" w:rsidRPr="009A2438">
        <w:rPr>
          <w:rFonts w:ascii="Garamond" w:hAnsi="Garamond"/>
        </w:rPr>
        <w:t>k</w:t>
      </w:r>
      <w:r w:rsidRPr="009A2438">
        <w:rPr>
          <w:rFonts w:ascii="Garamond" w:hAnsi="Garamond"/>
        </w:rPr>
        <w:t xml:space="preserve">. Az oktatási program </w:t>
      </w:r>
      <w:r w:rsidR="006469EA">
        <w:rPr>
          <w:rFonts w:ascii="Garamond" w:hAnsi="Garamond"/>
        </w:rPr>
        <w:t>több</w:t>
      </w:r>
      <w:r w:rsidRPr="009A2438">
        <w:rPr>
          <w:rFonts w:ascii="Garamond" w:hAnsi="Garamond"/>
        </w:rPr>
        <w:t xml:space="preserve"> olyan tárgyat is magában foglal, amely segíti a </w:t>
      </w:r>
      <w:r w:rsidR="00BB7FB2" w:rsidRPr="009A2438">
        <w:rPr>
          <w:rFonts w:ascii="Garamond" w:hAnsi="Garamond"/>
        </w:rPr>
        <w:t>doktoranduszhallgatók</w:t>
      </w:r>
      <w:r w:rsidRPr="009A2438">
        <w:rPr>
          <w:rFonts w:ascii="Garamond" w:hAnsi="Garamond"/>
        </w:rPr>
        <w:t xml:space="preserve"> kutató</w:t>
      </w:r>
      <w:r w:rsidR="001D2ECF">
        <w:rPr>
          <w:rFonts w:ascii="Garamond" w:hAnsi="Garamond"/>
        </w:rPr>
        <w:t>-</w:t>
      </w:r>
      <w:r w:rsidRPr="009A2438">
        <w:rPr>
          <w:rFonts w:ascii="Garamond" w:hAnsi="Garamond"/>
        </w:rPr>
        <w:t xml:space="preserve"> és elemző képességének javulását. A képzés során </w:t>
      </w:r>
      <w:r w:rsidR="006469EA">
        <w:rPr>
          <w:rFonts w:ascii="Garamond" w:hAnsi="Garamond"/>
        </w:rPr>
        <w:t>törekszünk arra</w:t>
      </w:r>
      <w:r w:rsidRPr="009A2438">
        <w:rPr>
          <w:rFonts w:ascii="Garamond" w:hAnsi="Garamond"/>
        </w:rPr>
        <w:t xml:space="preserve">, hogy a hallgatók képessé </w:t>
      </w:r>
      <w:r w:rsidR="006469EA">
        <w:rPr>
          <w:rFonts w:ascii="Garamond" w:hAnsi="Garamond"/>
        </w:rPr>
        <w:t xml:space="preserve">váljanak </w:t>
      </w:r>
      <w:r w:rsidRPr="009A2438">
        <w:rPr>
          <w:rFonts w:ascii="Garamond" w:hAnsi="Garamond"/>
        </w:rPr>
        <w:t>a megszerzett tudás alkotó alkalmazására.</w:t>
      </w:r>
    </w:p>
    <w:p w14:paraId="63D35F42" w14:textId="77777777" w:rsidR="00AD1B90" w:rsidRPr="009A2438" w:rsidRDefault="00AD1B90" w:rsidP="00743482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képzési program különböző jellegű </w:t>
      </w:r>
      <w:r w:rsidRPr="009A2438">
        <w:rPr>
          <w:rFonts w:ascii="Garamond" w:hAnsi="Garamond"/>
          <w:i/>
        </w:rPr>
        <w:t>tárgycsoportokból</w:t>
      </w:r>
      <w:r w:rsidRPr="009A2438">
        <w:rPr>
          <w:rFonts w:ascii="Garamond" w:hAnsi="Garamond"/>
        </w:rPr>
        <w:t xml:space="preserve"> épül fel. Az ökonómiai elméleti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tárgycsoport megfelelő részaránya és azok egyensúlya mindenkor biztosított. </w:t>
      </w:r>
    </w:p>
    <w:p w14:paraId="3EFA5532" w14:textId="77777777" w:rsidR="00AD1B90" w:rsidRPr="009A2438" w:rsidRDefault="00AD1B90" w:rsidP="008F53C9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</w:t>
      </w:r>
      <w:r w:rsidRPr="009A2438">
        <w:rPr>
          <w:rFonts w:ascii="Garamond" w:hAnsi="Garamond"/>
          <w:i/>
        </w:rPr>
        <w:t>abszolutórium megszerzéséhez</w:t>
      </w:r>
      <w:r w:rsidRPr="009A2438">
        <w:rPr>
          <w:rFonts w:ascii="Garamond" w:hAnsi="Garamond"/>
        </w:rPr>
        <w:t xml:space="preserve"> a </w:t>
      </w:r>
      <w:r w:rsidR="00844C88" w:rsidRPr="009A2438">
        <w:rPr>
          <w:rFonts w:ascii="Garamond" w:hAnsi="Garamond"/>
        </w:rPr>
        <w:t>8</w:t>
      </w:r>
      <w:r w:rsidRPr="009A2438">
        <w:rPr>
          <w:rFonts w:ascii="Garamond" w:hAnsi="Garamond"/>
        </w:rPr>
        <w:t xml:space="preserve"> félév alatt, </w:t>
      </w:r>
      <w:r w:rsidR="00D55D64" w:rsidRPr="009A2438">
        <w:rPr>
          <w:rFonts w:ascii="Garamond" w:hAnsi="Garamond"/>
        </w:rPr>
        <w:t>240</w:t>
      </w:r>
      <w:r w:rsidRPr="009A2438">
        <w:rPr>
          <w:rFonts w:ascii="Garamond" w:hAnsi="Garamond"/>
        </w:rPr>
        <w:t xml:space="preserve"> kredit megszerzése a követelmény. </w:t>
      </w:r>
    </w:p>
    <w:p w14:paraId="24A3406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25EB403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4D0BFED6" w14:textId="77777777" w:rsidR="00AD1B90" w:rsidRPr="0003523C" w:rsidRDefault="00AD1B90" w:rsidP="006469EA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kreditek megszerzésének forrásai</w:t>
      </w:r>
    </w:p>
    <w:p w14:paraId="603C24B1" w14:textId="77777777" w:rsidR="00AD1B90" w:rsidRPr="009A2438" w:rsidRDefault="00AD1B90" w:rsidP="00AD1B90">
      <w:pPr>
        <w:ind w:left="360"/>
        <w:jc w:val="both"/>
        <w:rPr>
          <w:rFonts w:ascii="Garamond" w:hAnsi="Garamond"/>
          <w:sz w:val="28"/>
          <w:szCs w:val="28"/>
        </w:rPr>
      </w:pP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2528"/>
        <w:gridCol w:w="1912"/>
        <w:gridCol w:w="1172"/>
      </w:tblGrid>
      <w:tr w:rsidR="00A1025E" w:rsidRPr="006469EA" w14:paraId="49C1256F" w14:textId="77777777" w:rsidTr="005C7FDC">
        <w:trPr>
          <w:trHeight w:val="402"/>
          <w:jc w:val="center"/>
        </w:trPr>
        <w:tc>
          <w:tcPr>
            <w:tcW w:w="1691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890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Időszak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56A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Képzés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B8B5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Kutatás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E8B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Oktatás</w:t>
            </w:r>
          </w:p>
        </w:tc>
        <w:tc>
          <w:tcPr>
            <w:tcW w:w="1172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BDE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Összesen</w:t>
            </w:r>
          </w:p>
        </w:tc>
      </w:tr>
      <w:tr w:rsidR="00A1025E" w:rsidRPr="006469EA" w14:paraId="3D102440" w14:textId="77777777" w:rsidTr="005C7FDC">
        <w:trPr>
          <w:trHeight w:val="1340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11C5E260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488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(óralátogatással és számonkéréssel)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3499" w14:textId="16DFF41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(publikáció-írással, </w:t>
            </w:r>
            <w:r w:rsidR="001D2ECF">
              <w:rPr>
                <w:rFonts w:ascii="Garamond" w:hAnsi="Garamond" w:cs="Arial"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konferencia részvétellel)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90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(óratartással, oktatástámogatással)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5208EB9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6469EA" w:rsidRPr="006469EA" w14:paraId="1A53CDE2" w14:textId="77777777" w:rsidTr="005C7FDC">
        <w:trPr>
          <w:trHeight w:val="402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2F4B8B4F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6425" w:type="dxa"/>
            <w:gridSpan w:val="3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2A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megszerezhető kreditek száma félévenként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95F5BDC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A1025E" w:rsidRPr="006469EA" w14:paraId="32367267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197E" w14:textId="35F1ED25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Képzési és </w:t>
            </w:r>
            <w:r w:rsidR="005C7FDC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(1 – 4.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A7B3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24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F52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68D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0 – 3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E7F5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  <w:tr w:rsidR="00A1025E" w:rsidRPr="006469EA" w14:paraId="3E181CE6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AF6F" w14:textId="77777777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és disszertációs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(5 – 8.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233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0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ED5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24 – 27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316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7CE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</w:tbl>
    <w:p w14:paraId="3E196CD6" w14:textId="77777777" w:rsidR="009A11A3" w:rsidRDefault="009A11A3" w:rsidP="009A11A3">
      <w:pPr>
        <w:ind w:left="360"/>
        <w:jc w:val="both"/>
        <w:rPr>
          <w:rFonts w:ascii="Garamond" w:hAnsi="Garamond"/>
        </w:rPr>
      </w:pPr>
    </w:p>
    <w:p w14:paraId="707119F1" w14:textId="77777777" w:rsidR="00A1025E" w:rsidRDefault="00A1025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DFD2857" w14:textId="77777777" w:rsidR="00A1025E" w:rsidRDefault="00A1025E" w:rsidP="00A1025E">
      <w:pPr>
        <w:jc w:val="both"/>
        <w:rPr>
          <w:rFonts w:ascii="Garamond" w:hAnsi="Garamond"/>
          <w:b/>
          <w:sz w:val="28"/>
          <w:szCs w:val="28"/>
        </w:rPr>
      </w:pPr>
    </w:p>
    <w:p w14:paraId="7DC69919" w14:textId="77777777" w:rsidR="001C7DA8" w:rsidRDefault="001C7DA8" w:rsidP="001C7DA8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A GKDI Gazdálkodástan képzési félévek tantárgybeosztása </w:t>
      </w:r>
      <w:r>
        <w:rPr>
          <w:bCs/>
        </w:rPr>
        <w:t xml:space="preserve">(minden </w:t>
      </w:r>
      <w:r w:rsidRPr="00ED47EE">
        <w:rPr>
          <w:bCs/>
        </w:rPr>
        <w:t>k</w:t>
      </w:r>
      <w:r>
        <w:rPr>
          <w:bCs/>
        </w:rPr>
        <w:t>urzus 10 x1,5 óra és 6 kreditértékű</w:t>
      </w:r>
      <w:r w:rsidRPr="00ED47EE">
        <w:rPr>
          <w:bCs/>
        </w:rPr>
        <w:t>)</w:t>
      </w:r>
    </w:p>
    <w:p w14:paraId="46EC4AD8" w14:textId="77777777" w:rsidR="001C7DA8" w:rsidRPr="00D37AB4" w:rsidRDefault="001C7DA8" w:rsidP="001C7DA8">
      <w:pPr>
        <w:tabs>
          <w:tab w:val="left" w:pos="7920"/>
        </w:tabs>
        <w:jc w:val="center"/>
        <w:rPr>
          <w:b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54"/>
        <w:gridCol w:w="1067"/>
        <w:gridCol w:w="1075"/>
        <w:gridCol w:w="881"/>
        <w:gridCol w:w="1070"/>
        <w:gridCol w:w="900"/>
        <w:gridCol w:w="897"/>
      </w:tblGrid>
      <w:tr w:rsidR="001C7DA8" w:rsidRPr="00A603BB" w14:paraId="2AA0165E" w14:textId="77777777" w:rsidTr="00A6608A">
        <w:tc>
          <w:tcPr>
            <w:tcW w:w="743" w:type="pct"/>
            <w:shd w:val="clear" w:color="auto" w:fill="auto"/>
          </w:tcPr>
          <w:p w14:paraId="7200168F" w14:textId="77777777" w:rsidR="001C7DA8" w:rsidRPr="00ED47EE" w:rsidRDefault="001C7DA8" w:rsidP="00A6608A">
            <w:pPr>
              <w:pStyle w:val="Listaszerbekezds"/>
              <w:ind w:left="0"/>
              <w:jc w:val="center"/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1. félév</w:t>
            </w:r>
          </w:p>
        </w:tc>
        <w:tc>
          <w:tcPr>
            <w:tcW w:w="646" w:type="pct"/>
            <w:shd w:val="clear" w:color="auto" w:fill="auto"/>
          </w:tcPr>
          <w:p w14:paraId="086E60D7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654" w:type="pct"/>
            <w:shd w:val="clear" w:color="auto" w:fill="auto"/>
          </w:tcPr>
          <w:p w14:paraId="0D85D95F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659" w:type="pct"/>
            <w:shd w:val="clear" w:color="auto" w:fill="auto"/>
          </w:tcPr>
          <w:p w14:paraId="62F0CD01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540" w:type="pct"/>
          </w:tcPr>
          <w:p w14:paraId="4AF581BE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655" w:type="pct"/>
          </w:tcPr>
          <w:p w14:paraId="477F42D2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2" w:type="pct"/>
          </w:tcPr>
          <w:p w14:paraId="7833423C" w14:textId="77777777" w:rsidR="001C7DA8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1" w:type="pct"/>
          </w:tcPr>
          <w:p w14:paraId="6180F0BB" w14:textId="77777777" w:rsidR="001C7DA8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1C7DA8" w:rsidRPr="00A603BB" w14:paraId="40DAF714" w14:textId="77777777" w:rsidTr="00A6608A">
        <w:trPr>
          <w:trHeight w:val="204"/>
        </w:trPr>
        <w:tc>
          <w:tcPr>
            <w:tcW w:w="2702" w:type="pct"/>
            <w:gridSpan w:val="4"/>
            <w:shd w:val="clear" w:color="auto" w:fill="auto"/>
          </w:tcPr>
          <w:p w14:paraId="5A86E538" w14:textId="77777777" w:rsidR="001C7DA8" w:rsidRPr="00ED47EE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Képzési t</w:t>
            </w:r>
            <w:r w:rsidRPr="00ED47EE">
              <w:rPr>
                <w:b/>
                <w:sz w:val="16"/>
                <w:szCs w:val="16"/>
              </w:rPr>
              <w:t>árgyak</w:t>
            </w:r>
            <w:r>
              <w:rPr>
                <w:b/>
                <w:sz w:val="16"/>
                <w:szCs w:val="16"/>
              </w:rPr>
              <w:t xml:space="preserve"> (képzési kredit)</w:t>
            </w:r>
          </w:p>
        </w:tc>
        <w:tc>
          <w:tcPr>
            <w:tcW w:w="1196" w:type="pct"/>
            <w:gridSpan w:val="2"/>
          </w:tcPr>
          <w:p w14:paraId="041483B8" w14:textId="77777777" w:rsidR="001C7DA8" w:rsidRPr="00A603BB" w:rsidRDefault="001C7DA8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  <w:tc>
          <w:tcPr>
            <w:tcW w:w="552" w:type="pct"/>
          </w:tcPr>
          <w:p w14:paraId="220DCC50" w14:textId="77777777" w:rsidR="001C7DA8" w:rsidRDefault="001C7DA8" w:rsidP="00A66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</w:tcPr>
          <w:p w14:paraId="0663E1D2" w14:textId="77777777" w:rsidR="001C7DA8" w:rsidRDefault="001C7DA8" w:rsidP="00A660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DA8" w:rsidRPr="00A603BB" w14:paraId="388AC774" w14:textId="77777777" w:rsidTr="00A6608A">
        <w:trPr>
          <w:trHeight w:val="246"/>
        </w:trPr>
        <w:tc>
          <w:tcPr>
            <w:tcW w:w="743" w:type="pct"/>
            <w:shd w:val="clear" w:color="auto" w:fill="auto"/>
          </w:tcPr>
          <w:p w14:paraId="2B45802D" w14:textId="77777777" w:rsidR="001C7DA8" w:rsidRPr="00ED47EE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Haladó közgazdaságtan</w:t>
            </w:r>
          </w:p>
          <w:p w14:paraId="245303E2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1FC8BE29" w14:textId="77777777" w:rsidR="001C7DA8" w:rsidRPr="00ED47EE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14:paraId="7333E230" w14:textId="77777777" w:rsidR="001C7DA8" w:rsidRPr="005719C1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Tevékenységirányítás</w:t>
            </w:r>
          </w:p>
          <w:p w14:paraId="28794D97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Vörös József</w:t>
            </w:r>
          </w:p>
          <w:p w14:paraId="50A260F6" w14:textId="77777777" w:rsidR="001C7DA8" w:rsidRPr="00A603BB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14:paraId="006EA5AC" w14:textId="77777777" w:rsidR="001C7DA8" w:rsidRPr="00A502CF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1*</w:t>
            </w:r>
          </w:p>
          <w:p w14:paraId="2FD664F8" w14:textId="77777777" w:rsidR="001C7DA8" w:rsidRPr="00A603BB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</w:tcPr>
          <w:p w14:paraId="4EEC3B63" w14:textId="77777777" w:rsidR="001C7DA8" w:rsidRPr="00A603BB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5*</w:t>
            </w:r>
          </w:p>
          <w:p w14:paraId="57AF1A45" w14:textId="77777777" w:rsidR="001C7DA8" w:rsidRPr="00A603BB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1196" w:type="pct"/>
            <w:gridSpan w:val="2"/>
            <w:vMerge w:val="restart"/>
          </w:tcPr>
          <w:p w14:paraId="738FAE5E" w14:textId="77777777" w:rsidR="001C7DA8" w:rsidRDefault="001C7DA8" w:rsidP="00A6608A">
            <w:pPr>
              <w:rPr>
                <w:sz w:val="16"/>
                <w:szCs w:val="16"/>
              </w:rPr>
            </w:pPr>
          </w:p>
          <w:p w14:paraId="6A213C2A" w14:textId="77777777" w:rsidR="001C7DA8" w:rsidRPr="00A603BB" w:rsidRDefault="001C7DA8" w:rsidP="00A660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Félévente</w:t>
            </w:r>
            <w:proofErr w:type="spellEnd"/>
            <w:r>
              <w:rPr>
                <w:sz w:val="16"/>
                <w:szCs w:val="16"/>
              </w:rPr>
              <w:t xml:space="preserve"> 3 alkalommal a DI profiljához kötődő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Kredittel nem jár. </w:t>
            </w:r>
          </w:p>
        </w:tc>
        <w:tc>
          <w:tcPr>
            <w:tcW w:w="1102" w:type="pct"/>
            <w:gridSpan w:val="2"/>
            <w:vMerge w:val="restart"/>
          </w:tcPr>
          <w:p w14:paraId="180E0661" w14:textId="77777777" w:rsidR="001C7DA8" w:rsidRDefault="001C7DA8" w:rsidP="00A6608A">
            <w:pPr>
              <w:rPr>
                <w:sz w:val="16"/>
                <w:szCs w:val="16"/>
              </w:rPr>
            </w:pPr>
          </w:p>
          <w:p w14:paraId="6D177906" w14:textId="77777777" w:rsidR="001C7DA8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Nincsen képzési kötelezettség</w:t>
            </w:r>
          </w:p>
        </w:tc>
      </w:tr>
      <w:tr w:rsidR="001C7DA8" w:rsidRPr="005719C1" w14:paraId="4634DA56" w14:textId="77777777" w:rsidTr="00A6608A">
        <w:tc>
          <w:tcPr>
            <w:tcW w:w="743" w:type="pct"/>
            <w:shd w:val="clear" w:color="auto" w:fill="auto"/>
          </w:tcPr>
          <w:p w14:paraId="3F1272C0" w14:textId="77777777" w:rsidR="001C7DA8" w:rsidRPr="00ED47EE" w:rsidRDefault="001C7DA8" w:rsidP="00A6608A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Adatműveletek</w:t>
            </w:r>
          </w:p>
          <w:p w14:paraId="41C8FFC6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Kehl Dániel</w:t>
            </w:r>
          </w:p>
          <w:p w14:paraId="57092878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</w:t>
            </w:r>
            <w:r w:rsidRPr="00ED47EE">
              <w:rPr>
                <w:sz w:val="16"/>
                <w:szCs w:val="16"/>
              </w:rPr>
              <w:t>zberger Móni</w:t>
            </w:r>
            <w:r>
              <w:rPr>
                <w:sz w:val="16"/>
                <w:szCs w:val="16"/>
              </w:rPr>
              <w:t>k</w:t>
            </w:r>
            <w:r w:rsidRPr="00ED47EE">
              <w:rPr>
                <w:sz w:val="16"/>
                <w:szCs w:val="16"/>
              </w:rPr>
              <w:t>a</w:t>
            </w:r>
          </w:p>
          <w:p w14:paraId="15625FC2" w14:textId="77777777" w:rsidR="001C7DA8" w:rsidRPr="00ED47EE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14:paraId="7A0058FC" w14:textId="77777777" w:rsidR="001C7DA8" w:rsidRPr="005719C1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Szervezetelmélet</w:t>
            </w:r>
          </w:p>
          <w:p w14:paraId="7A62AEA2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Vitai Zsuzsanna</w:t>
            </w:r>
          </w:p>
          <w:p w14:paraId="36D27D0E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14:paraId="441453D5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2*</w:t>
            </w:r>
          </w:p>
        </w:tc>
        <w:tc>
          <w:tcPr>
            <w:tcW w:w="659" w:type="pct"/>
            <w:shd w:val="clear" w:color="auto" w:fill="auto"/>
          </w:tcPr>
          <w:p w14:paraId="5AE0F2BC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6*</w:t>
            </w:r>
          </w:p>
        </w:tc>
        <w:tc>
          <w:tcPr>
            <w:tcW w:w="1196" w:type="pct"/>
            <w:gridSpan w:val="2"/>
            <w:vMerge/>
          </w:tcPr>
          <w:p w14:paraId="02CD06C5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1102" w:type="pct"/>
            <w:gridSpan w:val="2"/>
            <w:vMerge/>
          </w:tcPr>
          <w:p w14:paraId="0E895955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</w:tr>
      <w:tr w:rsidR="001C7DA8" w:rsidRPr="005719C1" w14:paraId="5B652DD5" w14:textId="77777777" w:rsidTr="00A6608A">
        <w:trPr>
          <w:trHeight w:val="626"/>
        </w:trPr>
        <w:tc>
          <w:tcPr>
            <w:tcW w:w="743" w:type="pct"/>
            <w:shd w:val="clear" w:color="auto" w:fill="auto"/>
          </w:tcPr>
          <w:p w14:paraId="74A8F885" w14:textId="77777777" w:rsidR="001C7DA8" w:rsidRPr="00265C8C" w:rsidRDefault="001C7DA8" w:rsidP="00A6608A">
            <w:pPr>
              <w:rPr>
                <w:b/>
                <w:sz w:val="16"/>
                <w:szCs w:val="16"/>
              </w:rPr>
            </w:pPr>
            <w:r w:rsidRPr="00265C8C">
              <w:rPr>
                <w:b/>
                <w:sz w:val="16"/>
                <w:szCs w:val="16"/>
              </w:rPr>
              <w:t>Tudományfilozófia</w:t>
            </w:r>
          </w:p>
          <w:p w14:paraId="1152FA02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Weisz János</w:t>
            </w:r>
          </w:p>
        </w:tc>
        <w:tc>
          <w:tcPr>
            <w:tcW w:w="646" w:type="pct"/>
            <w:shd w:val="clear" w:color="auto" w:fill="auto"/>
          </w:tcPr>
          <w:p w14:paraId="374DE396" w14:textId="77777777" w:rsidR="001C7DA8" w:rsidRPr="005719C1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Vállalatfinanszírozás</w:t>
            </w:r>
          </w:p>
          <w:p w14:paraId="4220C88F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Ulbert József</w:t>
            </w:r>
          </w:p>
          <w:p w14:paraId="7EBAF255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14:paraId="64EFA5A8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3*</w:t>
            </w:r>
          </w:p>
        </w:tc>
        <w:tc>
          <w:tcPr>
            <w:tcW w:w="659" w:type="pct"/>
            <w:shd w:val="clear" w:color="auto" w:fill="auto"/>
          </w:tcPr>
          <w:p w14:paraId="58B304C2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7*</w:t>
            </w:r>
          </w:p>
        </w:tc>
        <w:tc>
          <w:tcPr>
            <w:tcW w:w="1196" w:type="pct"/>
            <w:gridSpan w:val="2"/>
            <w:vMerge/>
          </w:tcPr>
          <w:p w14:paraId="66CA6170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1102" w:type="pct"/>
            <w:gridSpan w:val="2"/>
            <w:vMerge/>
          </w:tcPr>
          <w:p w14:paraId="7D08F328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</w:tr>
      <w:tr w:rsidR="001C7DA8" w:rsidRPr="00A603BB" w14:paraId="59F54A4B" w14:textId="77777777" w:rsidTr="00A6608A">
        <w:tc>
          <w:tcPr>
            <w:tcW w:w="743" w:type="pct"/>
            <w:shd w:val="clear" w:color="auto" w:fill="auto"/>
          </w:tcPr>
          <w:p w14:paraId="539C1839" w14:textId="77777777" w:rsidR="001C7DA8" w:rsidRPr="00CA354D" w:rsidRDefault="001C7DA8" w:rsidP="00A6608A">
            <w:pPr>
              <w:rPr>
                <w:b/>
                <w:sz w:val="16"/>
                <w:szCs w:val="16"/>
              </w:rPr>
            </w:pPr>
            <w:r w:rsidRPr="00CA354D">
              <w:rPr>
                <w:b/>
                <w:sz w:val="16"/>
                <w:szCs w:val="16"/>
              </w:rPr>
              <w:t>Döntési módszerek</w:t>
            </w:r>
          </w:p>
          <w:p w14:paraId="265A265D" w14:textId="77777777" w:rsidR="001C7DA8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Kovács Kármen </w:t>
            </w:r>
          </w:p>
          <w:p w14:paraId="6B7E8796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Vitai Zsuzsanna</w:t>
            </w:r>
          </w:p>
        </w:tc>
        <w:tc>
          <w:tcPr>
            <w:tcW w:w="646" w:type="pct"/>
            <w:shd w:val="clear" w:color="auto" w:fill="auto"/>
          </w:tcPr>
          <w:p w14:paraId="70248278" w14:textId="77777777" w:rsidR="001C7DA8" w:rsidRPr="005719C1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Fogyasztói magatartás</w:t>
            </w:r>
          </w:p>
          <w:p w14:paraId="43AE34E6" w14:textId="77777777" w:rsidR="001C7DA8" w:rsidRPr="005719C1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Törőcsik Mária</w:t>
            </w:r>
          </w:p>
          <w:p w14:paraId="0D302669" w14:textId="77777777" w:rsidR="001C7DA8" w:rsidRPr="005719C1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14:paraId="0B3E4F3B" w14:textId="77777777" w:rsidR="001C7DA8" w:rsidRPr="00A603BB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4*</w:t>
            </w:r>
          </w:p>
        </w:tc>
        <w:tc>
          <w:tcPr>
            <w:tcW w:w="659" w:type="pct"/>
            <w:shd w:val="clear" w:color="auto" w:fill="auto"/>
          </w:tcPr>
          <w:p w14:paraId="7072500A" w14:textId="77777777" w:rsidR="001C7DA8" w:rsidRPr="00A603BB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8*</w:t>
            </w:r>
          </w:p>
        </w:tc>
        <w:tc>
          <w:tcPr>
            <w:tcW w:w="1196" w:type="pct"/>
            <w:gridSpan w:val="2"/>
            <w:vMerge/>
          </w:tcPr>
          <w:p w14:paraId="6C758604" w14:textId="77777777" w:rsidR="001C7DA8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1102" w:type="pct"/>
            <w:gridSpan w:val="2"/>
            <w:vMerge/>
          </w:tcPr>
          <w:p w14:paraId="73A3475A" w14:textId="77777777" w:rsidR="001C7DA8" w:rsidRDefault="001C7DA8" w:rsidP="00A6608A">
            <w:pPr>
              <w:rPr>
                <w:sz w:val="16"/>
                <w:szCs w:val="16"/>
              </w:rPr>
            </w:pPr>
          </w:p>
        </w:tc>
      </w:tr>
      <w:tr w:rsidR="001C7DA8" w:rsidRPr="00A603BB" w14:paraId="78E8EAD4" w14:textId="77777777" w:rsidTr="00A6608A">
        <w:tc>
          <w:tcPr>
            <w:tcW w:w="5000" w:type="pct"/>
            <w:gridSpan w:val="8"/>
            <w:shd w:val="clear" w:color="auto" w:fill="auto"/>
          </w:tcPr>
          <w:p w14:paraId="3230102A" w14:textId="77777777" w:rsidR="001C7DA8" w:rsidRPr="00F776B6" w:rsidRDefault="001C7DA8" w:rsidP="00A660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Kutatási</w:t>
            </w:r>
            <w:r w:rsidRPr="00ED47EE">
              <w:rPr>
                <w:b/>
                <w:sz w:val="16"/>
                <w:szCs w:val="16"/>
              </w:rPr>
              <w:t xml:space="preserve"> tárgyak</w:t>
            </w:r>
            <w:r>
              <w:rPr>
                <w:b/>
                <w:sz w:val="16"/>
                <w:szCs w:val="16"/>
              </w:rPr>
              <w:t xml:space="preserve"> (kutatási kredit)</w:t>
            </w:r>
          </w:p>
        </w:tc>
      </w:tr>
      <w:tr w:rsidR="001C7DA8" w:rsidRPr="00A603BB" w14:paraId="43FFCF9B" w14:textId="77777777" w:rsidTr="00A6608A">
        <w:tc>
          <w:tcPr>
            <w:tcW w:w="743" w:type="pct"/>
            <w:shd w:val="clear" w:color="auto" w:fill="auto"/>
          </w:tcPr>
          <w:p w14:paraId="1A85C379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1</w:t>
            </w:r>
          </w:p>
          <w:p w14:paraId="18A8C78F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Kutatásmódszertan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1DFC812F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Kaposi Zoltán</w:t>
            </w:r>
          </w:p>
          <w:p w14:paraId="7AF49F71" w14:textId="77777777" w:rsidR="001C7DA8" w:rsidRPr="00ED47EE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14:paraId="1595BB2C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2</w:t>
            </w:r>
          </w:p>
          <w:p w14:paraId="2C3A4A0C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publish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  <w:p w14:paraId="533777A3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Geoffrey Wood</w:t>
            </w:r>
          </w:p>
          <w:p w14:paraId="11F59AC9" w14:textId="77777777" w:rsidR="001C7DA8" w:rsidRPr="00FE3950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14:paraId="163FBA15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3</w:t>
            </w:r>
          </w:p>
          <w:p w14:paraId="25D27FC9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Szisztematikus irodalomfeldolgozás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177D18CA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352CBDE6" w14:textId="77777777" w:rsidR="001C7DA8" w:rsidRPr="00FE3950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</w:tcPr>
          <w:p w14:paraId="107DE318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4</w:t>
            </w:r>
          </w:p>
          <w:p w14:paraId="487DCE95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gyakorlat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1D6B132E" w14:textId="77777777" w:rsidR="001C7DA8" w:rsidRPr="00ED47EE" w:rsidRDefault="001C7DA8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Szerb László</w:t>
            </w:r>
          </w:p>
          <w:p w14:paraId="2FCB9884" w14:textId="77777777" w:rsidR="001C7DA8" w:rsidRPr="00A603BB" w:rsidRDefault="001C7DA8" w:rsidP="00A6608A">
            <w:pPr>
              <w:rPr>
                <w:sz w:val="16"/>
                <w:szCs w:val="16"/>
              </w:rPr>
            </w:pPr>
          </w:p>
        </w:tc>
        <w:tc>
          <w:tcPr>
            <w:tcW w:w="2298" w:type="pct"/>
            <w:gridSpan w:val="4"/>
          </w:tcPr>
          <w:p w14:paraId="30A6BA66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 w:rsidRPr="009E03A3">
              <w:rPr>
                <w:b/>
                <w:sz w:val="16"/>
                <w:szCs w:val="16"/>
              </w:rPr>
              <w:t xml:space="preserve">Kutatói Fórum </w:t>
            </w:r>
          </w:p>
          <w:p w14:paraId="0749A89C" w14:textId="77777777" w:rsidR="001C7DA8" w:rsidRDefault="001C7DA8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E51D2">
              <w:rPr>
                <w:sz w:val="16"/>
                <w:szCs w:val="16"/>
              </w:rPr>
              <w:t>prezentáció a kutatások előre haladásáról a mérföldkövek mentén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14:paraId="2FD61C13" w14:textId="77777777" w:rsidR="001C7DA8" w:rsidRPr="009E03A3" w:rsidRDefault="001C7DA8" w:rsidP="00A6608A">
            <w:pPr>
              <w:rPr>
                <w:b/>
                <w:sz w:val="16"/>
                <w:szCs w:val="16"/>
              </w:rPr>
            </w:pPr>
            <w:r w:rsidRPr="008D6CF9">
              <w:rPr>
                <w:sz w:val="16"/>
                <w:szCs w:val="16"/>
              </w:rPr>
              <w:t>alprogram vezető</w:t>
            </w:r>
          </w:p>
        </w:tc>
      </w:tr>
      <w:tr w:rsidR="001C7DA8" w:rsidRPr="00A603BB" w14:paraId="035F2825" w14:textId="77777777" w:rsidTr="00A6608A">
        <w:trPr>
          <w:trHeight w:val="560"/>
        </w:trPr>
        <w:tc>
          <w:tcPr>
            <w:tcW w:w="5000" w:type="pct"/>
            <w:gridSpan w:val="8"/>
            <w:shd w:val="clear" w:color="auto" w:fill="auto"/>
          </w:tcPr>
          <w:p w14:paraId="47CC4AD2" w14:textId="77777777" w:rsidR="001C7DA8" w:rsidRPr="008B0BC6" w:rsidRDefault="001C7DA8" w:rsidP="00A6608A">
            <w:pPr>
              <w:jc w:val="center"/>
              <w:rPr>
                <w:sz w:val="20"/>
                <w:szCs w:val="20"/>
              </w:rPr>
            </w:pPr>
            <w:r w:rsidRPr="008B0BC6">
              <w:rPr>
                <w:sz w:val="20"/>
                <w:szCs w:val="20"/>
              </w:rPr>
              <w:t xml:space="preserve">Közösségi tudományos rendezvényeken való részvétel (munkahelyi viták, védések, tudományos szemináriumok, tudományos műhelytalálkozók) minimum 5 alkalom </w:t>
            </w:r>
            <w:proofErr w:type="spellStart"/>
            <w:r w:rsidRPr="008B0BC6">
              <w:rPr>
                <w:sz w:val="20"/>
                <w:szCs w:val="20"/>
              </w:rPr>
              <w:t>félévente</w:t>
            </w:r>
            <w:proofErr w:type="spellEnd"/>
            <w:r w:rsidRPr="008B0BC6">
              <w:rPr>
                <w:sz w:val="20"/>
                <w:szCs w:val="20"/>
              </w:rPr>
              <w:t>. Kredittel nem jár</w:t>
            </w:r>
          </w:p>
        </w:tc>
      </w:tr>
    </w:tbl>
    <w:p w14:paraId="7493BC59" w14:textId="77777777" w:rsidR="001C7DA8" w:rsidRDefault="001C7DA8" w:rsidP="001C7DA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E51D2">
        <w:rPr>
          <w:sz w:val="20"/>
          <w:szCs w:val="20"/>
        </w:rPr>
        <w:t>Választható tárgyak, (min 4 tárgy per szemeszter a 3-4 félévekben</w:t>
      </w:r>
      <w:r>
        <w:rPr>
          <w:sz w:val="20"/>
          <w:szCs w:val="20"/>
        </w:rPr>
        <w:t>, min 3 főtől indul</w:t>
      </w:r>
      <w:r w:rsidRPr="001E51D2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62ADA947" w14:textId="77777777" w:rsidR="001C7DA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Innovációs folyamatok (Lányi Beatrix)</w:t>
      </w:r>
    </w:p>
    <w:p w14:paraId="3B43E7E1" w14:textId="77777777" w:rsidR="001C7DA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Marketingelmélet (Szűcs Krisztián)</w:t>
      </w:r>
    </w:p>
    <w:p w14:paraId="37236979" w14:textId="77777777" w:rsidR="001C7DA8" w:rsidRPr="00B0631E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Tudásmenedzsment</w:t>
      </w:r>
      <w:r w:rsidRPr="00604FE8">
        <w:rPr>
          <w:sz w:val="20"/>
          <w:szCs w:val="20"/>
        </w:rPr>
        <w:t xml:space="preserve"> </w:t>
      </w:r>
      <w:r>
        <w:rPr>
          <w:sz w:val="20"/>
          <w:szCs w:val="20"/>
        </w:rPr>
        <w:t>(Jarjabka Ákos</w:t>
      </w:r>
      <w:r w:rsidRPr="00604FE8">
        <w:rPr>
          <w:sz w:val="20"/>
          <w:szCs w:val="20"/>
        </w:rPr>
        <w:t>)</w:t>
      </w:r>
    </w:p>
    <w:p w14:paraId="64920C6A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Emberi erőforrás menedzsment</w:t>
      </w:r>
      <w:r w:rsidRPr="00604FE8">
        <w:rPr>
          <w:sz w:val="20"/>
          <w:szCs w:val="20"/>
        </w:rPr>
        <w:t xml:space="preserve"> (</w:t>
      </w:r>
      <w:r>
        <w:rPr>
          <w:sz w:val="20"/>
          <w:szCs w:val="20"/>
        </w:rPr>
        <w:t>Ásványi Zsófia</w:t>
      </w:r>
      <w:r w:rsidRPr="00604FE8">
        <w:rPr>
          <w:sz w:val="20"/>
          <w:szCs w:val="20"/>
        </w:rPr>
        <w:t>)</w:t>
      </w:r>
    </w:p>
    <w:p w14:paraId="51F326F5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Vállalatértékelés</w:t>
      </w:r>
      <w:r w:rsidRPr="00604FE8">
        <w:rPr>
          <w:sz w:val="20"/>
          <w:szCs w:val="20"/>
        </w:rPr>
        <w:t xml:space="preserve"> (</w:t>
      </w:r>
      <w:r>
        <w:rPr>
          <w:sz w:val="20"/>
          <w:szCs w:val="20"/>
        </w:rPr>
        <w:t>Takács András</w:t>
      </w:r>
      <w:r w:rsidRPr="00604FE8">
        <w:rPr>
          <w:sz w:val="20"/>
          <w:szCs w:val="20"/>
        </w:rPr>
        <w:t>)</w:t>
      </w:r>
    </w:p>
    <w:p w14:paraId="782A66C8" w14:textId="77777777" w:rsidR="001C7DA8" w:rsidRPr="00B0631E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Viselkedési közgazdaságtan (Kovács Kármen)</w:t>
      </w:r>
    </w:p>
    <w:p w14:paraId="0DB6086F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Hálózatelemzés (Sebestyén Tamás/Lengyel Balázs)</w:t>
      </w:r>
    </w:p>
    <w:p w14:paraId="1B6E54E1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Matematikai közgazdaságtan (Bessenyei István)</w:t>
      </w:r>
    </w:p>
    <w:p w14:paraId="72BB0B4F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Sztochasztikus modellezés (Rappai Gábor)</w:t>
      </w:r>
    </w:p>
    <w:p w14:paraId="0CADD229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Optimumszámítás (Bugár Gyöngyi)</w:t>
      </w:r>
    </w:p>
    <w:p w14:paraId="03641723" w14:textId="77777777" w:rsidR="001C7DA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Pénzügyi piacok (Schepp Zoltán)</w:t>
      </w:r>
    </w:p>
    <w:p w14:paraId="31D83B95" w14:textId="77777777" w:rsidR="001C7DA8" w:rsidRPr="00604FE8" w:rsidRDefault="001C7DA8" w:rsidP="001C7DA8">
      <w:pPr>
        <w:pStyle w:val="Listaszerbekezds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Szabad kurzus (alkalmilag indul vendégprofesszor részvételével)</w:t>
      </w:r>
    </w:p>
    <w:p w14:paraId="71ED4011" w14:textId="77777777" w:rsidR="0003523C" w:rsidRDefault="0003523C">
      <w:pPr>
        <w:rPr>
          <w:rFonts w:ascii="Garamond" w:hAnsi="Garamond"/>
          <w:b/>
          <w:sz w:val="28"/>
          <w:szCs w:val="28"/>
        </w:rPr>
      </w:pPr>
    </w:p>
    <w:p w14:paraId="35BFB84D" w14:textId="77777777" w:rsidR="00AD1B90" w:rsidRPr="00A1025E" w:rsidRDefault="00AD1B90" w:rsidP="00A1025E">
      <w:pPr>
        <w:keepNext/>
        <w:spacing w:before="240" w:after="240"/>
        <w:ind w:left="-23"/>
        <w:jc w:val="both"/>
        <w:rPr>
          <w:rFonts w:ascii="Garamond" w:hAnsi="Garamond"/>
          <w:b/>
          <w:sz w:val="28"/>
          <w:szCs w:val="28"/>
        </w:rPr>
      </w:pPr>
      <w:r w:rsidRPr="00A1025E">
        <w:rPr>
          <w:rFonts w:ascii="Garamond" w:hAnsi="Garamond"/>
          <w:b/>
          <w:sz w:val="28"/>
          <w:szCs w:val="28"/>
        </w:rPr>
        <w:t>A fokozatszerzés feltételei és menete</w:t>
      </w:r>
    </w:p>
    <w:p w14:paraId="170E2530" w14:textId="6A3B9C18" w:rsidR="00AD1B90" w:rsidRPr="009A2438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E4766C" w:rsidRPr="009A2438">
        <w:rPr>
          <w:rFonts w:ascii="Garamond" w:hAnsi="Garamond"/>
        </w:rPr>
        <w:t>4. félév végén letett komplex vizsga jelenti, hogy a hallgató sikeresen teljesítette a képzési-kutatási szakaszt</w:t>
      </w:r>
      <w:r w:rsidR="00EC348F" w:rsidRPr="009A2438">
        <w:rPr>
          <w:rFonts w:ascii="Garamond" w:hAnsi="Garamond"/>
        </w:rPr>
        <w:t>. Ezután a hallgató részt</w:t>
      </w:r>
      <w:r w:rsidR="00653842">
        <w:rPr>
          <w:rFonts w:ascii="Garamond" w:hAnsi="Garamond"/>
        </w:rPr>
        <w:t xml:space="preserve"> vesz </w:t>
      </w:r>
      <w:r w:rsidR="00EC348F" w:rsidRPr="009A2438">
        <w:rPr>
          <w:rFonts w:ascii="Garamond" w:hAnsi="Garamond"/>
        </w:rPr>
        <w:t>a kutatási és disszertációs szakasz</w:t>
      </w:r>
      <w:r w:rsidR="00653842">
        <w:rPr>
          <w:rFonts w:ascii="Garamond" w:hAnsi="Garamond"/>
        </w:rPr>
        <w:t>ban, melynek célja a doktori értekezés elkészítése.</w:t>
      </w:r>
      <w:r w:rsidRPr="009A2438">
        <w:rPr>
          <w:rFonts w:ascii="Garamond" w:hAnsi="Garamond"/>
        </w:rPr>
        <w:t xml:space="preserve"> </w:t>
      </w:r>
      <w:r w:rsidR="00EC348F" w:rsidRPr="009A2438">
        <w:rPr>
          <w:rFonts w:ascii="Garamond" w:hAnsi="Garamond"/>
        </w:rPr>
        <w:t>A</w:t>
      </w:r>
      <w:r w:rsidR="00AC0963" w:rsidRPr="009A2438">
        <w:rPr>
          <w:rFonts w:ascii="Garamond" w:hAnsi="Garamond"/>
        </w:rPr>
        <w:t> </w:t>
      </w:r>
      <w:r w:rsidR="00EC348F" w:rsidRPr="009A2438">
        <w:rPr>
          <w:rFonts w:ascii="Garamond" w:hAnsi="Garamond"/>
        </w:rPr>
        <w:t>hallgató által megírt</w:t>
      </w:r>
      <w:r w:rsidRPr="009A2438">
        <w:rPr>
          <w:rFonts w:ascii="Garamond" w:hAnsi="Garamond"/>
        </w:rPr>
        <w:t xml:space="preserve"> értekezés</w:t>
      </w:r>
      <w:r w:rsidR="00653842">
        <w:rPr>
          <w:rFonts w:ascii="Garamond" w:hAnsi="Garamond"/>
        </w:rPr>
        <w:t>-tervezet</w:t>
      </w:r>
      <w:r w:rsidRPr="009A2438">
        <w:rPr>
          <w:rFonts w:ascii="Garamond" w:hAnsi="Garamond"/>
        </w:rPr>
        <w:t xml:space="preserve"> először előopponálásra kerül</w:t>
      </w:r>
      <w:r w:rsidR="00736992">
        <w:rPr>
          <w:rFonts w:ascii="Garamond" w:hAnsi="Garamond"/>
        </w:rPr>
        <w:t>,</w:t>
      </w:r>
      <w:r w:rsidR="00653842">
        <w:rPr>
          <w:rFonts w:ascii="Garamond" w:hAnsi="Garamond"/>
        </w:rPr>
        <w:t xml:space="preserve"> majd </w:t>
      </w:r>
      <w:r w:rsidR="00653842">
        <w:rPr>
          <w:rFonts w:ascii="Garamond" w:hAnsi="Garamond"/>
        </w:rPr>
        <w:lastRenderedPageBreak/>
        <w:t>a</w:t>
      </w:r>
      <w:r w:rsidRPr="009A2438">
        <w:rPr>
          <w:rFonts w:ascii="Garamond" w:hAnsi="Garamond"/>
        </w:rPr>
        <w:t>z e</w:t>
      </w:r>
      <w:r w:rsidR="00653842">
        <w:rPr>
          <w:rFonts w:ascii="Garamond" w:hAnsi="Garamond"/>
        </w:rPr>
        <w:t>nnek kritikai megállapításaira reagáló</w:t>
      </w:r>
      <w:r w:rsidRPr="009A2438">
        <w:rPr>
          <w:rFonts w:ascii="Garamond" w:hAnsi="Garamond"/>
        </w:rPr>
        <w:t xml:space="preserve"> átdolgozás után végső opponálásra kerül sor. Az előopponálásra bocsátás a </w:t>
      </w:r>
      <w:r w:rsidR="00F85599">
        <w:rPr>
          <w:rFonts w:ascii="Garamond" w:hAnsi="Garamond"/>
        </w:rPr>
        <w:t>témavezető</w:t>
      </w:r>
      <w:r w:rsidRPr="009A2438">
        <w:rPr>
          <w:rFonts w:ascii="Garamond" w:hAnsi="Garamond"/>
        </w:rPr>
        <w:t xml:space="preserve"> hozzájárulásával</w:t>
      </w:r>
      <w:r w:rsidR="00653842">
        <w:rPr>
          <w:rFonts w:ascii="Garamond" w:hAnsi="Garamond"/>
        </w:rPr>
        <w:t>, az abszolutórium megszerzésével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 xml:space="preserve">(240 kredit teljesítésével) </w:t>
      </w:r>
      <w:r w:rsidRPr="009A2438">
        <w:rPr>
          <w:rFonts w:ascii="Garamond" w:hAnsi="Garamond"/>
        </w:rPr>
        <w:t>lehetséges.</w:t>
      </w:r>
    </w:p>
    <w:p w14:paraId="14B5534B" w14:textId="77777777" w:rsidR="00F85599" w:rsidRDefault="00F85599" w:rsidP="0003523C">
      <w:pPr>
        <w:jc w:val="both"/>
        <w:rPr>
          <w:rFonts w:ascii="Garamond" w:hAnsi="Garamond"/>
        </w:rPr>
      </w:pPr>
    </w:p>
    <w:p w14:paraId="0B492836" w14:textId="01D5A138" w:rsidR="00F85599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653842">
        <w:rPr>
          <w:rFonts w:ascii="Garamond" w:hAnsi="Garamond"/>
        </w:rPr>
        <w:t xml:space="preserve"> végső opponálásra a</w:t>
      </w:r>
      <w:r w:rsidRPr="009A2438">
        <w:rPr>
          <w:rFonts w:ascii="Garamond" w:hAnsi="Garamond"/>
        </w:rPr>
        <w:t xml:space="preserve">z a </w:t>
      </w:r>
      <w:r w:rsidR="00E06B9D" w:rsidRPr="009A2438">
        <w:rPr>
          <w:rFonts w:ascii="Garamond" w:hAnsi="Garamond"/>
        </w:rPr>
        <w:t>doktoranduszhallgató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>nyújthatja be a doktori értekezését</w:t>
      </w:r>
      <w:r w:rsidRPr="009A2438">
        <w:rPr>
          <w:rFonts w:ascii="Garamond" w:hAnsi="Garamond"/>
        </w:rPr>
        <w:t xml:space="preserve">, </w:t>
      </w:r>
      <w:r w:rsidR="00653842">
        <w:rPr>
          <w:rFonts w:ascii="Garamond" w:hAnsi="Garamond"/>
        </w:rPr>
        <w:t xml:space="preserve">akinek </w:t>
      </w:r>
      <w:r w:rsidR="00F85599">
        <w:rPr>
          <w:rFonts w:ascii="Garamond" w:hAnsi="Garamond"/>
        </w:rPr>
        <w:t>publikációi köz</w:t>
      </w:r>
      <w:r w:rsidR="00653842">
        <w:rPr>
          <w:rFonts w:ascii="Garamond" w:hAnsi="Garamond"/>
        </w:rPr>
        <w:t>ött található</w:t>
      </w:r>
      <w:r w:rsidR="00F85599">
        <w:rPr>
          <w:rFonts w:ascii="Garamond" w:hAnsi="Garamond"/>
        </w:rPr>
        <w:t xml:space="preserve"> legalább 4 </w:t>
      </w:r>
      <w:r w:rsidR="00653842">
        <w:rPr>
          <w:rFonts w:ascii="Garamond" w:hAnsi="Garamond"/>
        </w:rPr>
        <w:t xml:space="preserve">lektorált </w:t>
      </w:r>
      <w:r w:rsidR="00F85599">
        <w:rPr>
          <w:rFonts w:ascii="Garamond" w:hAnsi="Garamond"/>
        </w:rPr>
        <w:t xml:space="preserve">folyóiratcikk, melyek közül legalább 1 magyar A-C besorolású és </w:t>
      </w:r>
      <w:r w:rsidR="00653842">
        <w:rPr>
          <w:rFonts w:ascii="Garamond" w:hAnsi="Garamond"/>
        </w:rPr>
        <w:t xml:space="preserve">legalább </w:t>
      </w:r>
      <w:r w:rsidR="00F85599">
        <w:rPr>
          <w:rFonts w:ascii="Garamond" w:hAnsi="Garamond"/>
        </w:rPr>
        <w:t xml:space="preserve">1 </w:t>
      </w:r>
      <w:r w:rsidR="00653842">
        <w:rPr>
          <w:rFonts w:ascii="Garamond" w:hAnsi="Garamond"/>
        </w:rPr>
        <w:t>nemzetközi (nem magyar kiadójú, idegen nyelvű) folyóiratban jelent meg</w:t>
      </w:r>
      <w:r w:rsidR="00F85599">
        <w:rPr>
          <w:rFonts w:ascii="Garamond" w:hAnsi="Garamond"/>
        </w:rPr>
        <w:t>.</w:t>
      </w:r>
    </w:p>
    <w:p w14:paraId="1098496E" w14:textId="77777777" w:rsidR="00F85599" w:rsidRDefault="00F85599" w:rsidP="00035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D45C213" w14:textId="77777777" w:rsidR="005D0D82" w:rsidRPr="00F85599" w:rsidRDefault="00AD1B90" w:rsidP="00A1025E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fokozatszerzési eljárás a doktori értekezés nyilvános védésével zárul.</w:t>
      </w:r>
    </w:p>
    <w:sectPr w:rsidR="005D0D82" w:rsidRPr="00F8559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434B" w14:textId="77777777" w:rsidR="00267CB4" w:rsidRDefault="00267CB4">
      <w:r>
        <w:separator/>
      </w:r>
    </w:p>
  </w:endnote>
  <w:endnote w:type="continuationSeparator" w:id="0">
    <w:p w14:paraId="641B1E11" w14:textId="77777777" w:rsidR="00267CB4" w:rsidRDefault="002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C9E" w14:textId="77777777"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906C15" w14:textId="77777777"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4FDE" w14:textId="77777777"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30EA" w14:textId="77777777" w:rsidR="00267CB4" w:rsidRDefault="00267CB4">
      <w:r>
        <w:separator/>
      </w:r>
    </w:p>
  </w:footnote>
  <w:footnote w:type="continuationSeparator" w:id="0">
    <w:p w14:paraId="2E2ECB4B" w14:textId="77777777" w:rsidR="00267CB4" w:rsidRDefault="002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3E4" w14:textId="77777777"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F5A21"/>
    <w:multiLevelType w:val="multilevel"/>
    <w:tmpl w:val="CBF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A69AE"/>
    <w:multiLevelType w:val="hybridMultilevel"/>
    <w:tmpl w:val="758CF5F0"/>
    <w:lvl w:ilvl="0" w:tplc="D80850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zE2NDMysTA0NjVX0lEKTi0uzszPAykwqgUAPrj6uiwAAAA="/>
  </w:docVars>
  <w:rsids>
    <w:rsidRoot w:val="001C6F41"/>
    <w:rsid w:val="00007E67"/>
    <w:rsid w:val="000103F2"/>
    <w:rsid w:val="0003523C"/>
    <w:rsid w:val="000522DC"/>
    <w:rsid w:val="00062075"/>
    <w:rsid w:val="00062E08"/>
    <w:rsid w:val="000A3678"/>
    <w:rsid w:val="000B7C30"/>
    <w:rsid w:val="000C785D"/>
    <w:rsid w:val="000D33FA"/>
    <w:rsid w:val="000F2E4A"/>
    <w:rsid w:val="001158B9"/>
    <w:rsid w:val="00117ADA"/>
    <w:rsid w:val="001357E8"/>
    <w:rsid w:val="001441BE"/>
    <w:rsid w:val="00162130"/>
    <w:rsid w:val="00164240"/>
    <w:rsid w:val="001835E6"/>
    <w:rsid w:val="001C2EE8"/>
    <w:rsid w:val="001C4FB9"/>
    <w:rsid w:val="001C6F41"/>
    <w:rsid w:val="001C7DA8"/>
    <w:rsid w:val="001D2ECF"/>
    <w:rsid w:val="001E79CC"/>
    <w:rsid w:val="001F3E21"/>
    <w:rsid w:val="00211706"/>
    <w:rsid w:val="002122BA"/>
    <w:rsid w:val="00227973"/>
    <w:rsid w:val="00236146"/>
    <w:rsid w:val="00254442"/>
    <w:rsid w:val="00267CB4"/>
    <w:rsid w:val="002A304E"/>
    <w:rsid w:val="002B5FC8"/>
    <w:rsid w:val="002E2A82"/>
    <w:rsid w:val="00315C9C"/>
    <w:rsid w:val="00315CD1"/>
    <w:rsid w:val="00316BF1"/>
    <w:rsid w:val="003222AC"/>
    <w:rsid w:val="00324222"/>
    <w:rsid w:val="00325D94"/>
    <w:rsid w:val="003340B5"/>
    <w:rsid w:val="00366E69"/>
    <w:rsid w:val="003F221F"/>
    <w:rsid w:val="00403EDF"/>
    <w:rsid w:val="004077BD"/>
    <w:rsid w:val="00421666"/>
    <w:rsid w:val="00432628"/>
    <w:rsid w:val="0045236E"/>
    <w:rsid w:val="0045365D"/>
    <w:rsid w:val="00464FEA"/>
    <w:rsid w:val="004A2B7B"/>
    <w:rsid w:val="00512C47"/>
    <w:rsid w:val="0052046A"/>
    <w:rsid w:val="00564CED"/>
    <w:rsid w:val="005652F1"/>
    <w:rsid w:val="00572528"/>
    <w:rsid w:val="00576239"/>
    <w:rsid w:val="005A2ACF"/>
    <w:rsid w:val="005B452E"/>
    <w:rsid w:val="005C7FDC"/>
    <w:rsid w:val="005D0D82"/>
    <w:rsid w:val="005E59B6"/>
    <w:rsid w:val="00613196"/>
    <w:rsid w:val="006163AA"/>
    <w:rsid w:val="006264E8"/>
    <w:rsid w:val="006465B9"/>
    <w:rsid w:val="006469EA"/>
    <w:rsid w:val="00653842"/>
    <w:rsid w:val="00666727"/>
    <w:rsid w:val="006A4708"/>
    <w:rsid w:val="006C4324"/>
    <w:rsid w:val="006D2490"/>
    <w:rsid w:val="006D53C8"/>
    <w:rsid w:val="00725263"/>
    <w:rsid w:val="00736992"/>
    <w:rsid w:val="00743482"/>
    <w:rsid w:val="00744A4B"/>
    <w:rsid w:val="00747560"/>
    <w:rsid w:val="00753616"/>
    <w:rsid w:val="00772625"/>
    <w:rsid w:val="00783920"/>
    <w:rsid w:val="00792D5F"/>
    <w:rsid w:val="007C6500"/>
    <w:rsid w:val="007D6565"/>
    <w:rsid w:val="007E13E7"/>
    <w:rsid w:val="00802D78"/>
    <w:rsid w:val="00805515"/>
    <w:rsid w:val="00810929"/>
    <w:rsid w:val="00810DA8"/>
    <w:rsid w:val="008217E8"/>
    <w:rsid w:val="00832764"/>
    <w:rsid w:val="00844C88"/>
    <w:rsid w:val="0085793A"/>
    <w:rsid w:val="00883951"/>
    <w:rsid w:val="008F53C9"/>
    <w:rsid w:val="008F6A10"/>
    <w:rsid w:val="009456C7"/>
    <w:rsid w:val="0095341B"/>
    <w:rsid w:val="00955938"/>
    <w:rsid w:val="0098306D"/>
    <w:rsid w:val="009A11A3"/>
    <w:rsid w:val="009A2438"/>
    <w:rsid w:val="009B3891"/>
    <w:rsid w:val="009D2B1F"/>
    <w:rsid w:val="009D3D9A"/>
    <w:rsid w:val="009D480B"/>
    <w:rsid w:val="00A1025E"/>
    <w:rsid w:val="00A22126"/>
    <w:rsid w:val="00A243EF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13308"/>
    <w:rsid w:val="00B55471"/>
    <w:rsid w:val="00B70A44"/>
    <w:rsid w:val="00BB2D25"/>
    <w:rsid w:val="00BB7FB2"/>
    <w:rsid w:val="00BC7913"/>
    <w:rsid w:val="00BE0CCE"/>
    <w:rsid w:val="00C05254"/>
    <w:rsid w:val="00C21858"/>
    <w:rsid w:val="00C30637"/>
    <w:rsid w:val="00C31D4A"/>
    <w:rsid w:val="00C551FB"/>
    <w:rsid w:val="00C72E75"/>
    <w:rsid w:val="00C90EE4"/>
    <w:rsid w:val="00C95D74"/>
    <w:rsid w:val="00CA118B"/>
    <w:rsid w:val="00CA538E"/>
    <w:rsid w:val="00CC1A1C"/>
    <w:rsid w:val="00D10957"/>
    <w:rsid w:val="00D270AB"/>
    <w:rsid w:val="00D478B4"/>
    <w:rsid w:val="00D55D64"/>
    <w:rsid w:val="00DC3ABE"/>
    <w:rsid w:val="00DD358D"/>
    <w:rsid w:val="00E06B9D"/>
    <w:rsid w:val="00E129F6"/>
    <w:rsid w:val="00E4766C"/>
    <w:rsid w:val="00EA2BCE"/>
    <w:rsid w:val="00EA475B"/>
    <w:rsid w:val="00EB1C88"/>
    <w:rsid w:val="00EC348F"/>
    <w:rsid w:val="00ED2A15"/>
    <w:rsid w:val="00F22235"/>
    <w:rsid w:val="00F51FEF"/>
    <w:rsid w:val="00F85599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DB6E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gazdalkodastani-doktori-iskol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c119-6cd4-4d13-994f-364b395a6467" xsi:nil="true"/>
    <lcf76f155ced4ddcb4097134ff3c332f xmlns="6713ac89-d2f8-44c6-9d84-42ae782e9d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7" ma:contentTypeDescription="Új dokumentum létrehozása." ma:contentTypeScope="" ma:versionID="5b377023b72e29bbc7ebaa01a66a6e81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62c7d975f163d98131118702594086e9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750AC-96C1-438A-8725-41F48A75C6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676924b-1c05-4a0f-96a2-88b7abaa69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A16B00-5636-472B-BE44-383E35EEEACD}"/>
</file>

<file path=customXml/itemProps3.xml><?xml version="1.0" encoding="utf-8"?>
<ds:datastoreItem xmlns:ds="http://schemas.openxmlformats.org/officeDocument/2006/customXml" ds:itemID="{4C4A84F8-382E-41B3-8D4A-6FF1403F2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8073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Jakabfi Edina</cp:lastModifiedBy>
  <cp:revision>2</cp:revision>
  <cp:lastPrinted>2016-07-14T09:39:00Z</cp:lastPrinted>
  <dcterms:created xsi:type="dcterms:W3CDTF">2022-07-14T09:31:00Z</dcterms:created>
  <dcterms:modified xsi:type="dcterms:W3CDTF">2022-07-14T09:31:00Z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0x010100F5DC3300B5FA7644B58FC44D7ECA8B4B</vt:lpwstr>
  </property>
</Properties>
</file>