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383E8" w14:textId="77777777" w:rsidR="0073199A" w:rsidRPr="00EF63FE" w:rsidRDefault="0073199A" w:rsidP="00017E95">
      <w:pPr>
        <w:jc w:val="center"/>
        <w:rPr>
          <w:b/>
          <w:sz w:val="32"/>
          <w:szCs w:val="32"/>
        </w:rPr>
      </w:pPr>
    </w:p>
    <w:p w14:paraId="5AC48FBB" w14:textId="77777777" w:rsidR="00B64FBB" w:rsidRDefault="00B64FBB" w:rsidP="00E40622">
      <w:pPr>
        <w:jc w:val="center"/>
        <w:rPr>
          <w:b/>
          <w:sz w:val="32"/>
          <w:szCs w:val="32"/>
        </w:rPr>
      </w:pPr>
    </w:p>
    <w:p w14:paraId="3B78362B" w14:textId="23D26DA1" w:rsidR="00E40622" w:rsidRPr="00B64FBB" w:rsidRDefault="00E40622" w:rsidP="00E40622">
      <w:pPr>
        <w:jc w:val="center"/>
        <w:rPr>
          <w:b/>
          <w:smallCaps/>
          <w:sz w:val="36"/>
          <w:szCs w:val="36"/>
        </w:rPr>
      </w:pPr>
      <w:r w:rsidRPr="00B64FBB">
        <w:rPr>
          <w:b/>
          <w:smallCaps/>
          <w:sz w:val="36"/>
          <w:szCs w:val="36"/>
        </w:rPr>
        <w:t xml:space="preserve">PTE </w:t>
      </w:r>
      <w:r w:rsidR="000C466D" w:rsidRPr="00B64FBB">
        <w:rPr>
          <w:b/>
          <w:smallCaps/>
          <w:sz w:val="36"/>
          <w:szCs w:val="36"/>
        </w:rPr>
        <w:t>Gazdálkodástani Doktori Iskola</w:t>
      </w:r>
    </w:p>
    <w:p w14:paraId="0DC2F620" w14:textId="77777777" w:rsidR="00E40622" w:rsidRPr="00EF63FE" w:rsidRDefault="00E40622" w:rsidP="00E40622">
      <w:pPr>
        <w:rPr>
          <w:b/>
          <w:sz w:val="32"/>
          <w:szCs w:val="32"/>
        </w:rPr>
      </w:pPr>
    </w:p>
    <w:p w14:paraId="0B68EFB0" w14:textId="77777777" w:rsidR="00E40622" w:rsidRPr="00EF63FE" w:rsidRDefault="00E40622" w:rsidP="00E40622">
      <w:pPr>
        <w:rPr>
          <w:b/>
          <w:sz w:val="32"/>
          <w:szCs w:val="32"/>
        </w:rPr>
      </w:pPr>
    </w:p>
    <w:p w14:paraId="17EBED1E" w14:textId="77777777" w:rsidR="00243EBD" w:rsidRDefault="00243EBD" w:rsidP="00E40622">
      <w:pPr>
        <w:jc w:val="center"/>
        <w:rPr>
          <w:b/>
          <w:i/>
          <w:sz w:val="52"/>
          <w:szCs w:val="52"/>
          <w:u w:val="single"/>
        </w:rPr>
      </w:pPr>
    </w:p>
    <w:p w14:paraId="72E05965" w14:textId="77777777" w:rsidR="00B64FBB" w:rsidRPr="00EF63FE" w:rsidRDefault="00B64FBB" w:rsidP="00E40622">
      <w:pPr>
        <w:jc w:val="center"/>
        <w:rPr>
          <w:b/>
          <w:i/>
          <w:sz w:val="52"/>
          <w:szCs w:val="52"/>
          <w:u w:val="single"/>
        </w:rPr>
      </w:pPr>
    </w:p>
    <w:p w14:paraId="53BFE00B" w14:textId="09302AF0" w:rsidR="00E40622" w:rsidRPr="00B64FBB" w:rsidRDefault="00E40622" w:rsidP="00E40622">
      <w:pPr>
        <w:jc w:val="center"/>
        <w:rPr>
          <w:b/>
          <w:i/>
          <w:smallCaps/>
          <w:sz w:val="52"/>
          <w:szCs w:val="52"/>
          <w:u w:val="single"/>
        </w:rPr>
      </w:pPr>
      <w:r w:rsidRPr="00B64FBB">
        <w:rPr>
          <w:b/>
          <w:i/>
          <w:smallCaps/>
          <w:sz w:val="52"/>
          <w:szCs w:val="52"/>
          <w:u w:val="single"/>
        </w:rPr>
        <w:t>Stratégia 20</w:t>
      </w:r>
      <w:r w:rsidR="000C466D" w:rsidRPr="00B64FBB">
        <w:rPr>
          <w:b/>
          <w:i/>
          <w:smallCaps/>
          <w:sz w:val="52"/>
          <w:szCs w:val="52"/>
          <w:u w:val="single"/>
        </w:rPr>
        <w:t>20-25</w:t>
      </w:r>
    </w:p>
    <w:p w14:paraId="0302ED2D" w14:textId="77777777" w:rsidR="00E40622" w:rsidRPr="00EF63FE" w:rsidRDefault="00E40622" w:rsidP="00E40622">
      <w:pPr>
        <w:jc w:val="center"/>
        <w:rPr>
          <w:b/>
          <w:sz w:val="32"/>
          <w:szCs w:val="32"/>
        </w:rPr>
      </w:pPr>
    </w:p>
    <w:p w14:paraId="22518F65" w14:textId="4BB333ED" w:rsidR="000C466D" w:rsidRPr="00EF63FE" w:rsidRDefault="000C466D">
      <w:pPr>
        <w:spacing w:before="0"/>
        <w:jc w:val="left"/>
        <w:rPr>
          <w:b/>
          <w:sz w:val="32"/>
          <w:szCs w:val="32"/>
        </w:rPr>
      </w:pPr>
      <w:r w:rsidRPr="00EF63FE">
        <w:rPr>
          <w:b/>
          <w:sz w:val="32"/>
          <w:szCs w:val="32"/>
        </w:rPr>
        <w:br w:type="page"/>
      </w:r>
    </w:p>
    <w:p w14:paraId="204A037A" w14:textId="2107E2E0" w:rsidR="005C5F2B" w:rsidRPr="00EF63FE" w:rsidRDefault="000C466D" w:rsidP="00FA459F">
      <w:pPr>
        <w:pStyle w:val="Cmsor2"/>
        <w:spacing w:before="480" w:after="240"/>
      </w:pPr>
      <w:r w:rsidRPr="00EF63FE">
        <w:lastRenderedPageBreak/>
        <w:t>A Gazdálkodástani Doktori Iskola mi</w:t>
      </w:r>
      <w:r w:rsidR="00243EBD" w:rsidRPr="00EF63FE">
        <w:t>ssziója</w:t>
      </w:r>
    </w:p>
    <w:p w14:paraId="13F89D3F" w14:textId="1915B4E6" w:rsidR="00D415FB" w:rsidRPr="00EF63FE" w:rsidRDefault="00D415FB" w:rsidP="00B727EC">
      <w:r w:rsidRPr="00EF63FE">
        <w:t xml:space="preserve">Tudományos kutatónak lenni nagy kihívás, embert próbáló feladat – hatványozottan igaz ez a XXI. század társadalomtudományi területeire. Hisszük, hogy a gazdaságtudomány alapvető kutatási kérdéseinek megválaszolása elősegíti a nemzetgazdaság hatékonyabb működését, valamint a társadalom jólétét és jól-létét. Át kívánjuk adni a jövő kutatógenerációjának azt a meggyőződésünket, hogy a tudomány eredményes és etikus művelése nemcsak a fenntartható jövő </w:t>
      </w:r>
      <w:proofErr w:type="spellStart"/>
      <w:r w:rsidRPr="00EF63FE">
        <w:t>záloga</w:t>
      </w:r>
      <w:proofErr w:type="spellEnd"/>
      <w:r w:rsidRPr="00EF63FE">
        <w:t>, hanem kivételesen szép életpálya is.</w:t>
      </w:r>
    </w:p>
    <w:p w14:paraId="527418F0" w14:textId="6D156ABB" w:rsidR="00940F4E" w:rsidRPr="00EF63FE" w:rsidRDefault="00940F4E" w:rsidP="00B727EC">
      <w:r w:rsidRPr="00EF63FE">
        <w:t xml:space="preserve">A </w:t>
      </w:r>
      <w:r w:rsidR="00D415FB" w:rsidRPr="00EF63FE">
        <w:t>Doktori Iskola</w:t>
      </w:r>
      <w:r w:rsidRPr="00EF63FE">
        <w:t xml:space="preserve"> </w:t>
      </w:r>
      <w:r w:rsidR="00DC2262" w:rsidRPr="00EF63FE">
        <w:t xml:space="preserve">immár több mint </w:t>
      </w:r>
      <w:r w:rsidR="008737EA" w:rsidRPr="00EF63FE">
        <w:t>2</w:t>
      </w:r>
      <w:r w:rsidR="00DC2262" w:rsidRPr="00EF63FE">
        <w:t xml:space="preserve"> évtizeden keresztül tartja magát az alapítók által megfogalmazott </w:t>
      </w:r>
      <w:r w:rsidRPr="00EF63FE">
        <w:t>küldetés</w:t>
      </w:r>
      <w:r w:rsidR="00DC2262" w:rsidRPr="00EF63FE">
        <w:t>nyilatkozathoz</w:t>
      </w:r>
      <w:r w:rsidRPr="00EF63FE">
        <w:t xml:space="preserve"> (</w:t>
      </w:r>
      <w:proofErr w:type="spellStart"/>
      <w:r w:rsidRPr="00EF63FE">
        <w:t>mission</w:t>
      </w:r>
      <w:proofErr w:type="spellEnd"/>
      <w:r w:rsidRPr="00EF63FE">
        <w:t xml:space="preserve"> </w:t>
      </w:r>
      <w:proofErr w:type="spellStart"/>
      <w:r w:rsidRPr="00EF63FE">
        <w:t>statement</w:t>
      </w:r>
      <w:proofErr w:type="spellEnd"/>
      <w:r w:rsidRPr="00EF63FE">
        <w:t>):</w:t>
      </w:r>
    </w:p>
    <w:p w14:paraId="4AEDA32D" w14:textId="3D1A5667" w:rsidR="00940F4E" w:rsidRPr="00EF63FE" w:rsidRDefault="00940F4E" w:rsidP="00380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45"/>
        <w:jc w:val="center"/>
        <w:rPr>
          <w:i/>
        </w:rPr>
      </w:pPr>
      <w:r w:rsidRPr="00EF63FE">
        <w:rPr>
          <w:i/>
        </w:rPr>
        <w:t>„</w:t>
      </w:r>
      <w:r w:rsidR="004E1140" w:rsidRPr="00EF63FE">
        <w:rPr>
          <w:i/>
        </w:rPr>
        <w:t>A PTE Gazdálkodástani Doktori Iskola elkötelezett abban, hogy olyan ambiciózus és elkötelezett kutatókat neveljen, akik munkájukkal, kitartásukkal és etikus hozzáállásukkal hozzájárulnak a tudományos közösség fejlődéséhez</w:t>
      </w:r>
      <w:r w:rsidR="007F0912" w:rsidRPr="00EF63FE">
        <w:rPr>
          <w:i/>
        </w:rPr>
        <w:t>.</w:t>
      </w:r>
      <w:r w:rsidR="00BB1E00" w:rsidRPr="00EF63FE">
        <w:rPr>
          <w:i/>
        </w:rPr>
        <w:t xml:space="preserve"> </w:t>
      </w:r>
      <w:r w:rsidR="007F0912" w:rsidRPr="00EF63FE">
        <w:rPr>
          <w:i/>
        </w:rPr>
        <w:t xml:space="preserve">A doktori képzés során az iskola </w:t>
      </w:r>
      <w:r w:rsidR="00BB1E00" w:rsidRPr="00EF63FE">
        <w:rPr>
          <w:i/>
        </w:rPr>
        <w:t xml:space="preserve">minden személyi és tárgyi támogatást </w:t>
      </w:r>
      <w:r w:rsidR="007F0912" w:rsidRPr="00EF63FE">
        <w:rPr>
          <w:i/>
        </w:rPr>
        <w:t xml:space="preserve">megad </w:t>
      </w:r>
      <w:r w:rsidR="00380FBD" w:rsidRPr="00EF63FE">
        <w:rPr>
          <w:i/>
        </w:rPr>
        <w:t>doktoranduszainak</w:t>
      </w:r>
      <w:r w:rsidR="00BB1E00" w:rsidRPr="00EF63FE">
        <w:rPr>
          <w:i/>
        </w:rPr>
        <w:t>, hogy az iskolát elvégzők sikeresen helytálljanak a nemzetközi tudományos életben</w:t>
      </w:r>
    </w:p>
    <w:p w14:paraId="5934FA27" w14:textId="77777777" w:rsidR="001D09F0" w:rsidRPr="00EF63FE" w:rsidRDefault="00B727EC">
      <w:r w:rsidRPr="00EF63FE">
        <w:t>Az 199</w:t>
      </w:r>
      <w:r w:rsidR="001D09F0" w:rsidRPr="00EF63FE">
        <w:t>5</w:t>
      </w:r>
      <w:r w:rsidRPr="00EF63FE">
        <w:t>-b</w:t>
      </w:r>
      <w:r w:rsidR="001D09F0" w:rsidRPr="00EF63FE">
        <w:t>e</w:t>
      </w:r>
      <w:r w:rsidRPr="00EF63FE">
        <w:t xml:space="preserve">n elfogadott </w:t>
      </w:r>
      <w:r w:rsidR="001D09F0" w:rsidRPr="00EF63FE">
        <w:t>küldetésnyilatkozat</w:t>
      </w:r>
      <w:r w:rsidRPr="00EF63FE">
        <w:t xml:space="preserve"> </w:t>
      </w:r>
      <w:r w:rsidR="00FF2772" w:rsidRPr="00EF63FE">
        <w:t xml:space="preserve">időtállónak bizonyult, máig érvényes. </w:t>
      </w:r>
    </w:p>
    <w:p w14:paraId="0C480FD7" w14:textId="4FBE3ED2" w:rsidR="00FF2772" w:rsidRPr="00EF63FE" w:rsidRDefault="00984D69">
      <w:r w:rsidRPr="00EF63FE">
        <w:t>Napjainkra</w:t>
      </w:r>
      <w:r w:rsidR="00FF2772" w:rsidRPr="00EF63FE">
        <w:t xml:space="preserve"> ugyanakkor a PTE </w:t>
      </w:r>
      <w:r w:rsidR="00151429" w:rsidRPr="00EF63FE">
        <w:t>Gazdálkodástani Doktori Iskoláját</w:t>
      </w:r>
      <w:r w:rsidR="00FF2772" w:rsidRPr="00EF63FE">
        <w:t xml:space="preserve"> körülvevő környezet, illetve a </w:t>
      </w:r>
      <w:r w:rsidR="00151429" w:rsidRPr="00EF63FE">
        <w:t xml:space="preserve">törzstagok, oktatók, témavezetők </w:t>
      </w:r>
      <w:r w:rsidR="00FF2772" w:rsidRPr="00EF63FE">
        <w:t xml:space="preserve">közössége oly mértékben megváltozott, hogy célszerűnek láttuk egy – részben – új stratégia kidolgozását. Az eltelt </w:t>
      </w:r>
      <w:r w:rsidR="008737EA" w:rsidRPr="00EF63FE">
        <w:t>mintegy 25 évben</w:t>
      </w:r>
      <w:r w:rsidR="00FF2772" w:rsidRPr="00EF63FE">
        <w:t xml:space="preserve"> bekövetkezett </w:t>
      </w:r>
      <w:r w:rsidR="00FF2772" w:rsidRPr="00EF63FE">
        <w:rPr>
          <w:i/>
        </w:rPr>
        <w:t>legfontosabb</w:t>
      </w:r>
      <w:r w:rsidR="00FF2772" w:rsidRPr="00EF63FE">
        <w:t xml:space="preserve"> változások:</w:t>
      </w:r>
    </w:p>
    <w:p w14:paraId="2A9FE0B1" w14:textId="59B1ED62" w:rsidR="00F80F2E" w:rsidRPr="00EF63FE" w:rsidRDefault="00F80F2E" w:rsidP="008A58A8">
      <w:pPr>
        <w:numPr>
          <w:ilvl w:val="0"/>
          <w:numId w:val="10"/>
        </w:numPr>
        <w:spacing w:before="60"/>
        <w:ind w:left="714" w:hanging="357"/>
      </w:pPr>
      <w:r w:rsidRPr="00EF63FE">
        <w:t xml:space="preserve">a magyar felsőoktatás rendszere átalakult, a háromlépcsős rendszerben a doktori képzés helye </w:t>
      </w:r>
      <w:r w:rsidR="00EF63FE">
        <w:t xml:space="preserve">a harmadik szinten </w:t>
      </w:r>
      <w:r w:rsidRPr="00EF63FE">
        <w:t>egyértelművé vált</w:t>
      </w:r>
      <w:r w:rsidR="00EF63FE" w:rsidRPr="00EF63FE">
        <w:t xml:space="preserve">, a </w:t>
      </w:r>
      <w:r w:rsidR="002C1AD3">
        <w:t>PhD-fokozattal betölthető munkahelyek száma ugyanakkor nem bővült drasztikusan;</w:t>
      </w:r>
    </w:p>
    <w:p w14:paraId="43945225" w14:textId="29D9FBDC" w:rsidR="00FF2772" w:rsidRPr="00EF63FE" w:rsidRDefault="008737EA" w:rsidP="008A58A8">
      <w:pPr>
        <w:numPr>
          <w:ilvl w:val="0"/>
          <w:numId w:val="10"/>
        </w:numPr>
        <w:spacing w:before="60"/>
        <w:ind w:left="714" w:hanging="357"/>
      </w:pPr>
      <w:r w:rsidRPr="00EF63FE">
        <w:t>az Alapító Iskolavezető nyugdíjba vonult, a</w:t>
      </w:r>
      <w:r w:rsidR="00BD3B43" w:rsidRPr="00EF63FE">
        <w:t xml:space="preserve">z Alapító Törzstagok többsége helyén fiatalabb kollégák alkotják a </w:t>
      </w:r>
      <w:r w:rsidR="00F80F2E" w:rsidRPr="00EF63FE">
        <w:t>doktori iskola személyi állományának magját</w:t>
      </w:r>
      <w:r w:rsidR="001E73BE" w:rsidRPr="00EF63FE">
        <w:t>;</w:t>
      </w:r>
    </w:p>
    <w:p w14:paraId="2C202145" w14:textId="64E59F07" w:rsidR="00FF2772" w:rsidRPr="00EF63FE" w:rsidRDefault="002C1AD3" w:rsidP="008A58A8">
      <w:pPr>
        <w:numPr>
          <w:ilvl w:val="0"/>
          <w:numId w:val="10"/>
        </w:numPr>
        <w:spacing w:before="60"/>
        <w:ind w:left="714" w:hanging="357"/>
      </w:pPr>
      <w:r>
        <w:t xml:space="preserve">a </w:t>
      </w:r>
      <w:r w:rsidR="00490AAE">
        <w:t xml:space="preserve">mesterképzéses hallgatói létszám csökkenése, a gazdaságtudományi doktori iskolák számának jelentős bővülése erodálta a </w:t>
      </w:r>
      <w:r w:rsidR="003278DB">
        <w:t>képzés iránti keresletet</w:t>
      </w:r>
      <w:r w:rsidR="001E73BE" w:rsidRPr="00EF63FE">
        <w:t>;</w:t>
      </w:r>
    </w:p>
    <w:p w14:paraId="67A92703" w14:textId="4133D43A" w:rsidR="001E73BE" w:rsidRPr="00EF63FE" w:rsidRDefault="003278DB" w:rsidP="008A58A8">
      <w:pPr>
        <w:numPr>
          <w:ilvl w:val="0"/>
          <w:numId w:val="10"/>
        </w:numPr>
        <w:spacing w:before="60"/>
        <w:ind w:left="714" w:hanging="357"/>
      </w:pPr>
      <w:r>
        <w:t>a nemzetközi program (</w:t>
      </w:r>
      <w:proofErr w:type="spellStart"/>
      <w:r>
        <w:t>IPhD</w:t>
      </w:r>
      <w:proofErr w:type="spellEnd"/>
      <w:r>
        <w:t xml:space="preserve"> in Business </w:t>
      </w:r>
      <w:proofErr w:type="spellStart"/>
      <w:r>
        <w:t>Administration</w:t>
      </w:r>
      <w:proofErr w:type="spellEnd"/>
      <w:r>
        <w:t xml:space="preserve">) </w:t>
      </w:r>
      <w:r w:rsidR="00870774">
        <w:t>kevés hallgatót érintő, szinte kivételes jelenség helyett meghatározó főiránnyá vált</w:t>
      </w:r>
      <w:r w:rsidR="001E73BE" w:rsidRPr="00EF63FE">
        <w:t>;</w:t>
      </w:r>
    </w:p>
    <w:p w14:paraId="5F4A7AD9" w14:textId="41AB74DF" w:rsidR="00B10E0C" w:rsidRPr="00EF63FE" w:rsidRDefault="00935C58" w:rsidP="008A58A8">
      <w:pPr>
        <w:numPr>
          <w:ilvl w:val="0"/>
          <w:numId w:val="10"/>
        </w:numPr>
        <w:spacing w:before="60"/>
        <w:ind w:left="714" w:hanging="357"/>
      </w:pPr>
      <w:r>
        <w:t>a publikációs lehetőségek (elsősorban a nemzetközi folyóiratok száma) drasztikusa</w:t>
      </w:r>
      <w:r w:rsidR="00DC5FC1">
        <w:t xml:space="preserve">n bővült, a lapok heterogén minőségi követelményei, a </w:t>
      </w:r>
      <w:r w:rsidR="006A0BB7">
        <w:t xml:space="preserve">közléshez kapcsolódó </w:t>
      </w:r>
      <w:proofErr w:type="spellStart"/>
      <w:r w:rsidR="006A0BB7">
        <w:t>esetenként</w:t>
      </w:r>
      <w:proofErr w:type="spellEnd"/>
      <w:r w:rsidR="006A0BB7">
        <w:t xml:space="preserve"> jelentős díjak, rendkívüli mértékben átalakították a k</w:t>
      </w:r>
      <w:r w:rsidR="00627477">
        <w:t>üldetésnyilatkozatban is szereplő „nemzetközi tudományos élet”-</w:t>
      </w:r>
      <w:proofErr w:type="spellStart"/>
      <w:r w:rsidR="00627477">
        <w:t>et</w:t>
      </w:r>
      <w:proofErr w:type="spellEnd"/>
      <w:r w:rsidR="00627477">
        <w:t>.</w:t>
      </w:r>
    </w:p>
    <w:p w14:paraId="7FF30D93" w14:textId="77777777" w:rsidR="00627477" w:rsidRPr="00EF63FE" w:rsidRDefault="00627477"/>
    <w:p w14:paraId="29A1C965" w14:textId="77777777" w:rsidR="007269D7" w:rsidRPr="00EF63FE" w:rsidRDefault="007269D7" w:rsidP="00FA459F">
      <w:pPr>
        <w:pStyle w:val="Cmsor2"/>
        <w:spacing w:before="480" w:after="240"/>
      </w:pPr>
      <w:bookmarkStart w:id="0" w:name="_Toc124509778"/>
      <w:r w:rsidRPr="00EF63FE">
        <w:t>SWOT analízis</w:t>
      </w:r>
      <w:bookmarkEnd w:id="0"/>
    </w:p>
    <w:p w14:paraId="0DDE60F2" w14:textId="2EBCCAEF" w:rsidR="00B66520" w:rsidRDefault="00D31993" w:rsidP="00B66520">
      <w:r>
        <w:t>A Stratégia megalkotása előtt elvégeztük a működés SWOT (</w:t>
      </w:r>
      <w:proofErr w:type="spellStart"/>
      <w:r w:rsidR="000020BD" w:rsidRPr="000020BD">
        <w:t>Strengths</w:t>
      </w:r>
      <w:proofErr w:type="spellEnd"/>
      <w:r w:rsidR="000020BD">
        <w:t>/</w:t>
      </w:r>
      <w:r w:rsidR="000020BD" w:rsidRPr="000020BD">
        <w:t>Erősségek</w:t>
      </w:r>
      <w:r w:rsidR="000020BD">
        <w:t xml:space="preserve"> – </w:t>
      </w:r>
      <w:r w:rsidR="000020BD" w:rsidRPr="000020BD">
        <w:t xml:space="preserve"> </w:t>
      </w:r>
      <w:proofErr w:type="spellStart"/>
      <w:r w:rsidR="000020BD" w:rsidRPr="000020BD">
        <w:t>Weaknesses</w:t>
      </w:r>
      <w:proofErr w:type="spellEnd"/>
      <w:r w:rsidR="000020BD">
        <w:t>/</w:t>
      </w:r>
      <w:r w:rsidR="000020BD" w:rsidRPr="000020BD">
        <w:t>Gyengeségek</w:t>
      </w:r>
      <w:r w:rsidR="000020BD">
        <w:t xml:space="preserve"> – </w:t>
      </w:r>
      <w:proofErr w:type="spellStart"/>
      <w:r w:rsidR="000020BD" w:rsidRPr="000020BD">
        <w:t>Opportunities</w:t>
      </w:r>
      <w:proofErr w:type="spellEnd"/>
      <w:r w:rsidR="000020BD">
        <w:t>/</w:t>
      </w:r>
      <w:r w:rsidR="000020BD" w:rsidRPr="000020BD">
        <w:t>Lehetőségek</w:t>
      </w:r>
      <w:r w:rsidR="000020BD">
        <w:t xml:space="preserve"> – </w:t>
      </w:r>
      <w:proofErr w:type="spellStart"/>
      <w:r w:rsidR="000020BD" w:rsidRPr="000020BD">
        <w:t>Threats</w:t>
      </w:r>
      <w:proofErr w:type="spellEnd"/>
      <w:r w:rsidR="000020BD">
        <w:t>/</w:t>
      </w:r>
      <w:r w:rsidR="000020BD" w:rsidRPr="000020BD">
        <w:t>Veszélyek)</w:t>
      </w:r>
      <w:r w:rsidR="000020BD">
        <w:t xml:space="preserve"> </w:t>
      </w:r>
      <w:r w:rsidR="00472D03">
        <w:t>analízisét</w:t>
      </w:r>
      <w:r w:rsidR="00B66520">
        <w:t>, melyet</w:t>
      </w:r>
      <w:r w:rsidR="00472D03">
        <w:t xml:space="preserve"> </w:t>
      </w:r>
      <w:r w:rsidR="00B66520">
        <w:t>az alábbi táblázatban foglalhatjuk össze:</w:t>
      </w:r>
    </w:p>
    <w:p w14:paraId="46C7F342" w14:textId="77777777" w:rsidR="00397102" w:rsidRDefault="00397102" w:rsidP="00B66520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41"/>
        <w:gridCol w:w="2093"/>
        <w:gridCol w:w="2145"/>
        <w:gridCol w:w="2094"/>
      </w:tblGrid>
      <w:tr w:rsidR="00B66520" w14:paraId="5B67CD24" w14:textId="77777777" w:rsidTr="00397102">
        <w:tc>
          <w:tcPr>
            <w:tcW w:w="214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3984B83" w14:textId="77777777" w:rsidR="00B66520" w:rsidRPr="00A110E1" w:rsidRDefault="00B66520" w:rsidP="00971E05">
            <w:pPr>
              <w:spacing w:before="40" w:after="40"/>
              <w:rPr>
                <w:b/>
              </w:rPr>
            </w:pPr>
            <w:r w:rsidRPr="00A110E1">
              <w:rPr>
                <w:b/>
              </w:rPr>
              <w:lastRenderedPageBreak/>
              <w:t>Erősségek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95CD76" w14:textId="77777777" w:rsidR="00B66520" w:rsidRDefault="00B66520" w:rsidP="00971E05">
            <w:pPr>
              <w:spacing w:before="40" w:after="40"/>
            </w:pPr>
          </w:p>
        </w:tc>
        <w:tc>
          <w:tcPr>
            <w:tcW w:w="214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1F7FEDB" w14:textId="77777777" w:rsidR="00B66520" w:rsidRPr="00A110E1" w:rsidRDefault="00B66520" w:rsidP="00971E05">
            <w:pPr>
              <w:spacing w:before="40" w:after="40"/>
              <w:rPr>
                <w:b/>
              </w:rPr>
            </w:pPr>
            <w:r w:rsidRPr="00A110E1">
              <w:rPr>
                <w:b/>
              </w:rPr>
              <w:t>Gyengeségek</w:t>
            </w:r>
          </w:p>
        </w:tc>
        <w:tc>
          <w:tcPr>
            <w:tcW w:w="2094" w:type="dxa"/>
          </w:tcPr>
          <w:p w14:paraId="51F91357" w14:textId="77777777" w:rsidR="00B66520" w:rsidRDefault="00B66520" w:rsidP="00971E05">
            <w:pPr>
              <w:spacing w:before="40" w:after="40"/>
            </w:pPr>
          </w:p>
        </w:tc>
      </w:tr>
      <w:tr w:rsidR="00B66520" w14:paraId="5C2254B1" w14:textId="77777777" w:rsidTr="00397102">
        <w:tc>
          <w:tcPr>
            <w:tcW w:w="4234" w:type="dxa"/>
            <w:gridSpan w:val="2"/>
          </w:tcPr>
          <w:p w14:paraId="3835C46E" w14:textId="77777777" w:rsidR="00B66520" w:rsidRPr="00A110E1" w:rsidRDefault="00B66520" w:rsidP="00971E05">
            <w:pPr>
              <w:spacing w:before="60" w:after="60"/>
              <w:rPr>
                <w:sz w:val="20"/>
                <w:szCs w:val="20"/>
              </w:rPr>
            </w:pPr>
            <w:r w:rsidRPr="00A110E1">
              <w:rPr>
                <w:sz w:val="20"/>
                <w:szCs w:val="20"/>
              </w:rPr>
              <w:t>Szervezettség és működési fegyelmezettség</w:t>
            </w:r>
          </w:p>
          <w:p w14:paraId="01BD8E73" w14:textId="77777777" w:rsidR="00B66520" w:rsidRDefault="00B66520" w:rsidP="00971E05">
            <w:pPr>
              <w:spacing w:before="60" w:after="60"/>
              <w:rPr>
                <w:sz w:val="20"/>
                <w:szCs w:val="20"/>
              </w:rPr>
            </w:pPr>
            <w:r w:rsidRPr="00A110E1">
              <w:rPr>
                <w:sz w:val="20"/>
                <w:szCs w:val="20"/>
              </w:rPr>
              <w:t>Hallgatók nemzetközi mobilitásának támogatása</w:t>
            </w:r>
          </w:p>
          <w:p w14:paraId="600E8720" w14:textId="77777777" w:rsidR="00B66520" w:rsidRDefault="00B66520" w:rsidP="00971E0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Doktori cselekmények transzparenciája</w:t>
            </w:r>
          </w:p>
          <w:p w14:paraId="2862BD0E" w14:textId="77777777" w:rsidR="00B66520" w:rsidRDefault="00B66520" w:rsidP="00971E0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Disszertációk magas színvonala</w:t>
            </w:r>
          </w:p>
          <w:p w14:paraId="4509EB3C" w14:textId="4223D339" w:rsidR="00B66520" w:rsidRPr="00D12BC3" w:rsidRDefault="00B66520" w:rsidP="00971E0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Ügyintézés hallgatóközpontúsága</w:t>
            </w:r>
          </w:p>
        </w:tc>
        <w:tc>
          <w:tcPr>
            <w:tcW w:w="4239" w:type="dxa"/>
            <w:gridSpan w:val="2"/>
          </w:tcPr>
          <w:p w14:paraId="2892446D" w14:textId="77777777" w:rsidR="00B66520" w:rsidRDefault="00B66520" w:rsidP="00971E0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Témavezetők túlterheltsége</w:t>
            </w:r>
          </w:p>
          <w:p w14:paraId="0E57C518" w14:textId="77777777" w:rsidR="00B66520" w:rsidRDefault="00B66520" w:rsidP="00971E0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Kutatási fórumok alacsony hatékonysága</w:t>
            </w:r>
          </w:p>
          <w:p w14:paraId="5830E5BC" w14:textId="77777777" w:rsidR="00B66520" w:rsidRDefault="00B66520" w:rsidP="00971E0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Szervezett hallgatói elégedettségmérés hiánya</w:t>
            </w:r>
          </w:p>
          <w:p w14:paraId="66EA4A17" w14:textId="77777777" w:rsidR="00B66520" w:rsidRDefault="00B66520" w:rsidP="00971E0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Lemorzsolódás nagy aránya</w:t>
            </w:r>
          </w:p>
          <w:p w14:paraId="45294AAB" w14:textId="55F20D67" w:rsidR="00B66520" w:rsidRPr="00A110E1" w:rsidRDefault="00B66520" w:rsidP="00971E0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B66520" w14:paraId="6D2865D2" w14:textId="77777777" w:rsidTr="00397102">
        <w:tc>
          <w:tcPr>
            <w:tcW w:w="2141" w:type="dxa"/>
            <w:shd w:val="clear" w:color="auto" w:fill="D9D9D9" w:themeFill="background1" w:themeFillShade="D9"/>
          </w:tcPr>
          <w:p w14:paraId="2C17EA96" w14:textId="77777777" w:rsidR="00B66520" w:rsidRPr="00A110E1" w:rsidRDefault="00B66520" w:rsidP="00971E05">
            <w:pPr>
              <w:spacing w:before="40" w:after="40"/>
              <w:rPr>
                <w:b/>
              </w:rPr>
            </w:pPr>
            <w:r w:rsidRPr="00A110E1">
              <w:rPr>
                <w:b/>
              </w:rPr>
              <w:t>Lehetőségek</w:t>
            </w:r>
          </w:p>
        </w:tc>
        <w:tc>
          <w:tcPr>
            <w:tcW w:w="2093" w:type="dxa"/>
          </w:tcPr>
          <w:p w14:paraId="2C8F3FA1" w14:textId="77777777" w:rsidR="00B66520" w:rsidRDefault="00B66520" w:rsidP="00971E05">
            <w:pPr>
              <w:spacing w:before="40" w:after="40"/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0E88D3BD" w14:textId="77777777" w:rsidR="00B66520" w:rsidRPr="00A110E1" w:rsidRDefault="00B66520" w:rsidP="00971E05">
            <w:pPr>
              <w:spacing w:before="40" w:after="40"/>
              <w:rPr>
                <w:b/>
              </w:rPr>
            </w:pPr>
            <w:r w:rsidRPr="00A110E1">
              <w:rPr>
                <w:b/>
              </w:rPr>
              <w:t>Veszélyek</w:t>
            </w:r>
          </w:p>
        </w:tc>
        <w:tc>
          <w:tcPr>
            <w:tcW w:w="2094" w:type="dxa"/>
          </w:tcPr>
          <w:p w14:paraId="322FC1BE" w14:textId="77777777" w:rsidR="00B66520" w:rsidRDefault="00B66520" w:rsidP="00971E05">
            <w:pPr>
              <w:spacing w:before="40" w:after="40"/>
            </w:pPr>
          </w:p>
        </w:tc>
      </w:tr>
      <w:tr w:rsidR="00B66520" w14:paraId="3246A9B2" w14:textId="77777777" w:rsidTr="00397102">
        <w:tc>
          <w:tcPr>
            <w:tcW w:w="4234" w:type="dxa"/>
            <w:gridSpan w:val="2"/>
          </w:tcPr>
          <w:p w14:paraId="41D71449" w14:textId="77777777" w:rsidR="00B66520" w:rsidRDefault="00B66520" w:rsidP="00971E0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Oktatói-témavezetői bázis szélesítése</w:t>
            </w:r>
          </w:p>
          <w:p w14:paraId="73321D0B" w14:textId="77777777" w:rsidR="00B66520" w:rsidRDefault="00B66520" w:rsidP="00971E0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Külföldi partnerintézmény oktatóinak bevonása</w:t>
            </w:r>
          </w:p>
          <w:p w14:paraId="649117BE" w14:textId="77777777" w:rsidR="00B66520" w:rsidRDefault="00B66520" w:rsidP="00971E0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Saját konferenciák szervezése</w:t>
            </w:r>
          </w:p>
          <w:p w14:paraId="592AC3E9" w14:textId="1FCCFF29" w:rsidR="00B66520" w:rsidRPr="00A110E1" w:rsidRDefault="00B66520" w:rsidP="009F2031">
            <w:pPr>
              <w:spacing w:before="60" w:after="60"/>
              <w:ind w:left="169" w:hanging="1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Hallgatók foglalkoztatása az oktatásban, EU-pályázatok megvalósításában</w:t>
            </w:r>
          </w:p>
        </w:tc>
        <w:tc>
          <w:tcPr>
            <w:tcW w:w="4239" w:type="dxa"/>
            <w:gridSpan w:val="2"/>
          </w:tcPr>
          <w:p w14:paraId="58AAAA3E" w14:textId="77777777" w:rsidR="00B66520" w:rsidRDefault="00B66520" w:rsidP="00971E0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Beiskolázási bázis szűkülése</w:t>
            </w:r>
          </w:p>
          <w:p w14:paraId="2651FC3E" w14:textId="77777777" w:rsidR="00B66520" w:rsidRPr="00A110E1" w:rsidRDefault="00B66520" w:rsidP="00971E0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Kutatói életpálya vonzerőjének folyamatos csökkenése</w:t>
            </w:r>
          </w:p>
        </w:tc>
      </w:tr>
    </w:tbl>
    <w:p w14:paraId="0F71DEA1" w14:textId="77777777" w:rsidR="00B66520" w:rsidRDefault="00B66520" w:rsidP="00B66520">
      <w:r w:rsidRPr="00501F68">
        <w:t xml:space="preserve">A Gazdálkodástani </w:t>
      </w:r>
      <w:r>
        <w:t>Doktori Iskola</w:t>
      </w:r>
      <w:r w:rsidRPr="00501F68">
        <w:t xml:space="preserve"> </w:t>
      </w:r>
      <w:r w:rsidRPr="00D22165">
        <w:t>erősségei</w:t>
      </w:r>
      <w:r w:rsidRPr="00501F68">
        <w:t xml:space="preserve"> között tartjuk számon az iskolarendszerű képzés 4 félévének </w:t>
      </w:r>
      <w:r w:rsidRPr="00D22165">
        <w:rPr>
          <w:i/>
        </w:rPr>
        <w:t>szervezettségét és működési fegyelmezettségét</w:t>
      </w:r>
      <w:r w:rsidRPr="00501F68">
        <w:t xml:space="preserve">. </w:t>
      </w:r>
      <w:r>
        <w:t>Huszonöt</w:t>
      </w:r>
      <w:r w:rsidRPr="00501F68">
        <w:t xml:space="preserve"> év tapasztalata alapján mondható, hogy a tantervben foglalt tárgyak kontakt óráinak megtartása, az oktatás tartalmának folyamatos megújulása, a számonkérési követelmények teljesítése magas színvonalon történik. A </w:t>
      </w:r>
      <w:r>
        <w:t xml:space="preserve">szervezett képzésben résztvevő </w:t>
      </w:r>
      <w:r w:rsidRPr="00501F68">
        <w:t xml:space="preserve">doktorandusz hallgatókkal szemben azonos kritériumokat fogalmazunk meg, s ezek teljesítése rendre megtörténik. A tanterv összeállításakor a fő szempont a szemléletformálás és látókörbővítés. </w:t>
      </w:r>
    </w:p>
    <w:p w14:paraId="4134D5C9" w14:textId="77777777" w:rsidR="00B66520" w:rsidRPr="00501F68" w:rsidRDefault="00B66520" w:rsidP="00B66520">
      <w:r w:rsidRPr="00501F68">
        <w:t xml:space="preserve">A működés egy másik erőssége a doktorandusz hallgatók </w:t>
      </w:r>
      <w:r w:rsidRPr="00D22165">
        <w:rPr>
          <w:i/>
        </w:rPr>
        <w:t>nemzetközi mobilitásának</w:t>
      </w:r>
      <w:r w:rsidRPr="00501F68">
        <w:t xml:space="preserve"> hatékony segítése. Az iskolarendszerű első négy félévet követően, az ún. kutatási félévek során, tartós lehetőségként kínálkozott átlagosan </w:t>
      </w:r>
      <w:r>
        <w:t>1-</w:t>
      </w:r>
      <w:r w:rsidRPr="00501F68">
        <w:t xml:space="preserve">3 hónapos ösztöndíjjal külföldi egyetemen, az értekezést megalapozó kutató munkát folytatni. A külföldi tartózkodást a </w:t>
      </w:r>
      <w:r>
        <w:t>Doktori Iskola</w:t>
      </w:r>
      <w:r w:rsidRPr="00501F68">
        <w:t xml:space="preserve"> – pályázati forrásokból – hosszú idő óta támogatja. E mobilitási program eredményességét mutatja, hogy az iskola fennállása óta ebben résztvevő mintegy </w:t>
      </w:r>
      <w:r>
        <w:t>három tucat</w:t>
      </w:r>
      <w:r w:rsidRPr="00501F68">
        <w:t xml:space="preserve"> doktorandusz hallgató 90%-a fokozatot szerzett. </w:t>
      </w:r>
    </w:p>
    <w:p w14:paraId="76200394" w14:textId="7780925B" w:rsidR="00B66520" w:rsidRPr="00501F68" w:rsidRDefault="00B66520" w:rsidP="00B66520">
      <w:r w:rsidRPr="00501F68">
        <w:t xml:space="preserve">Erősségként tekinthető a doktori cselekmények lebonyolításának </w:t>
      </w:r>
      <w:r>
        <w:rPr>
          <w:i/>
        </w:rPr>
        <w:t>nyilvánossága</w:t>
      </w:r>
      <w:r w:rsidRPr="003139A7">
        <w:rPr>
          <w:i/>
        </w:rPr>
        <w:t xml:space="preserve"> és magas színvonala</w:t>
      </w:r>
      <w:r w:rsidRPr="00501F68">
        <w:t xml:space="preserve">. Az elkészült értekezések előopponálására, végső értékelésére, a nyilvános védésre az adott szakterület leginkább értő és igényes szakembereit kérjük fel. Ez azt jelenti, hogy a doktorandusz hallgatók tudományos teljesítményének megméretése a lehető legnagyobb szakmai nyitottság mellett történik. A </w:t>
      </w:r>
      <w:r w:rsidR="00397102">
        <w:t>d</w:t>
      </w:r>
      <w:r>
        <w:t xml:space="preserve">oktori </w:t>
      </w:r>
      <w:r w:rsidR="00397102">
        <w:t>i</w:t>
      </w:r>
      <w:r>
        <w:t>skola</w:t>
      </w:r>
      <w:r w:rsidRPr="00501F68">
        <w:t xml:space="preserve"> munkájának ismertsége és elismertsége többek között ennek is köszönhető, mivel immár több százra tehető azon opponensek, elnökök és bizottsági tagok száma, akik az iskola megalakulása óta beleláthattak a minősítési folyamatba. A szakmai elzárkózás és belterjesség elutasítása kezdettől fogva megkülönböztetetten fontos cél volt, ami maradéktalanul teljesült.</w:t>
      </w:r>
    </w:p>
    <w:p w14:paraId="4C5742FB" w14:textId="51E8BBB3" w:rsidR="00B66520" w:rsidRPr="00501F68" w:rsidRDefault="00B66520" w:rsidP="00B66520">
      <w:r w:rsidRPr="00501F68">
        <w:t xml:space="preserve">A </w:t>
      </w:r>
      <w:r w:rsidR="00397102">
        <w:t>d</w:t>
      </w:r>
      <w:r>
        <w:t xml:space="preserve">oktori </w:t>
      </w:r>
      <w:r w:rsidR="00397102">
        <w:t>i</w:t>
      </w:r>
      <w:r>
        <w:t>skola</w:t>
      </w:r>
      <w:r w:rsidRPr="00501F68">
        <w:t xml:space="preserve"> működésének kiemelkedően fontos erőssége az ügymenet </w:t>
      </w:r>
      <w:r w:rsidRPr="003139A7">
        <w:rPr>
          <w:i/>
        </w:rPr>
        <w:t>hallgató-központúsága</w:t>
      </w:r>
      <w:r w:rsidRPr="00501F68">
        <w:rPr>
          <w:i/>
          <w:u w:val="single"/>
        </w:rPr>
        <w:t>.</w:t>
      </w:r>
      <w:r w:rsidRPr="00501F68">
        <w:t xml:space="preserve"> Mindenkor arra törekedtünk, hogy a szakmai követelmények egységességének fenntartásával a sajátos hallgatói igényeket gondos odafigyeléssel differenciáltan kezeljük. Ez vonatkozhatott évhalasztásra, az iskolalátogatás szabályozására, anyagi ügyekre vagy a különös problémák kezelésére. Fokozatot szerzett egykori doktorandusz hallgatóink visszajelzéseiből tudjuk, hogy e gondoskodást mindenkor fontos értéknek tekintették, s általában nemcsak az érintettek és kedvezményezettek. </w:t>
      </w:r>
    </w:p>
    <w:p w14:paraId="4F5217D0" w14:textId="00524EF8" w:rsidR="00B66520" w:rsidRPr="00501F68" w:rsidRDefault="00B66520" w:rsidP="00B66520">
      <w:r w:rsidRPr="00501F68">
        <w:lastRenderedPageBreak/>
        <w:t xml:space="preserve">A Gazdálkodástani </w:t>
      </w:r>
      <w:r>
        <w:t>Doktori Iskola</w:t>
      </w:r>
      <w:r w:rsidRPr="00501F68">
        <w:t xml:space="preserve"> működtetésének </w:t>
      </w:r>
      <w:r w:rsidRPr="00A110E1">
        <w:rPr>
          <w:i/>
        </w:rPr>
        <w:t>gyenge pontjait</w:t>
      </w:r>
      <w:r w:rsidRPr="00501F68">
        <w:t xml:space="preserve"> is szükséges bemutatni. Az elsőként említett gyengeség a </w:t>
      </w:r>
      <w:r w:rsidRPr="00A110E1">
        <w:rPr>
          <w:i/>
        </w:rPr>
        <w:t>konzulensi</w:t>
      </w:r>
      <w:r w:rsidRPr="00A110E1">
        <w:t xml:space="preserve"> </w:t>
      </w:r>
      <w:r w:rsidRPr="00501F68">
        <w:t xml:space="preserve">munkához és a </w:t>
      </w:r>
      <w:r w:rsidRPr="00A110E1">
        <w:rPr>
          <w:i/>
        </w:rPr>
        <w:t>kutatási</w:t>
      </w:r>
      <w:r w:rsidRPr="00501F68">
        <w:t xml:space="preserve"> fórumhoz kapcsolódik. Meg-megújuló erőfeszítéseink ellenére is nagy különbségek vannak a doktorandusz hallgatók szakmai segítésének gyakoriságában és színvonalában. Gyakran előfordul, hogy a </w:t>
      </w:r>
      <w:proofErr w:type="spellStart"/>
      <w:r>
        <w:t>Phd</w:t>
      </w:r>
      <w:proofErr w:type="spellEnd"/>
      <w:r>
        <w:t>-hallgató</w:t>
      </w:r>
      <w:r w:rsidRPr="00501F68">
        <w:t xml:space="preserve"> tartósan magára van utalva hatékony konzulensi segítség hiányában. A </w:t>
      </w:r>
      <w:r>
        <w:t>témavezető</w:t>
      </w:r>
      <w:r w:rsidRPr="00501F68">
        <w:t xml:space="preserve"> oktatók túlterheltsége bizonyára magyarázhatja ezt a jelenséget, </w:t>
      </w:r>
      <w:r>
        <w:t xml:space="preserve">ennek ellenére </w:t>
      </w:r>
      <w:r w:rsidRPr="00501F68">
        <w:t>a ténnyel nem barátkozhatunk meg. A hallgatók kutatási eredményeinek bemutatására alkalmasak a kutatási fórumok, a konferenciák és a legkülönbözőbb helyeken tartott előadások. A doktoranduszok motiválásában, bemutatkozási alkalmak teremtésében számos erőfeszítést tettünk, a doktoranduszok konferencia-részvételét anyagilag is támogatjuk, mindazonáltal ez a terület munkánk egyik gyenge pontjának bizonyult.</w:t>
      </w:r>
    </w:p>
    <w:p w14:paraId="10B130C1" w14:textId="77777777" w:rsidR="00B66520" w:rsidRPr="00501F68" w:rsidRDefault="00B66520" w:rsidP="00B66520">
      <w:r w:rsidRPr="00501F68">
        <w:t xml:space="preserve">A gyengeségek sorában említést érdemel a </w:t>
      </w:r>
      <w:r w:rsidRPr="00A110E1">
        <w:rPr>
          <w:i/>
        </w:rPr>
        <w:t>szervezett elégedettség-vizsgálat hiánya</w:t>
      </w:r>
      <w:r w:rsidRPr="00501F68">
        <w:t xml:space="preserve">. A </w:t>
      </w:r>
      <w:r>
        <w:t>Doktori Iskola</w:t>
      </w:r>
      <w:r w:rsidRPr="00501F68">
        <w:t xml:space="preserve"> viszonylag szerény létszáma alapján úgy véltük, hogy a kérdőíves megkérdezésnek kevéssé lehet funkciója, ám tapasztalatok alapján úgy látjuk, hogy a megkérdezés szervezetté tételével fontos információkhoz juthatnánk a hallgatói elégedettséget illetően.</w:t>
      </w:r>
    </w:p>
    <w:p w14:paraId="60993A7A" w14:textId="0C852A45" w:rsidR="00B66520" w:rsidRPr="00501F68" w:rsidRDefault="00B66520" w:rsidP="00B66520">
      <w:r w:rsidRPr="00501F68">
        <w:t xml:space="preserve">Gyengeségeink között tudhatjuk a hallgatói </w:t>
      </w:r>
      <w:r w:rsidRPr="00A110E1">
        <w:rPr>
          <w:i/>
        </w:rPr>
        <w:t>lemorzsolódás hatékony akadályozására</w:t>
      </w:r>
      <w:r w:rsidRPr="00501F68">
        <w:t xml:space="preserve"> való képességünk hiányát. Mint már korábban említés történt erről, a lemorzsolódás az esetek többségében munkahelyi okok, vagy az életutak változásai miatt következik be, mégis úgy véljük, hogy a </w:t>
      </w:r>
      <w:r w:rsidR="00D46583">
        <w:t>d</w:t>
      </w:r>
      <w:r>
        <w:t xml:space="preserve">oktori </w:t>
      </w:r>
      <w:r w:rsidR="00D46583">
        <w:t>i</w:t>
      </w:r>
      <w:r>
        <w:t>skola</w:t>
      </w:r>
      <w:r w:rsidRPr="00501F68">
        <w:t xml:space="preserve"> segítséget kell hogy nyújtson a folytatás esélyeinek növeléséhez.</w:t>
      </w:r>
    </w:p>
    <w:p w14:paraId="1B56B0B3" w14:textId="77777777" w:rsidR="00B66520" w:rsidRPr="00501F68" w:rsidRDefault="00B66520" w:rsidP="00B66520">
      <w:r w:rsidRPr="00501F68">
        <w:t xml:space="preserve">A </w:t>
      </w:r>
      <w:r>
        <w:t>Doktori Iskola</w:t>
      </w:r>
      <w:r w:rsidRPr="00501F68">
        <w:t xml:space="preserve"> működésében számos vonatkozásban tartunk számon </w:t>
      </w:r>
      <w:r w:rsidRPr="00392128">
        <w:rPr>
          <w:i/>
        </w:rPr>
        <w:t>fejlesztési lehetőségeket</w:t>
      </w:r>
      <w:r w:rsidRPr="00501F68">
        <w:t xml:space="preserve">; ezek szorosan kötődnek a korábban bemutatott korlátokhoz, erősségekhez és gyengeségekhez. Fejlesztési lehetőség kapcsolódik az </w:t>
      </w:r>
      <w:r w:rsidRPr="00392128">
        <w:rPr>
          <w:i/>
        </w:rPr>
        <w:t>oktatói-konzulensi bázis</w:t>
      </w:r>
      <w:r w:rsidRPr="00501F68">
        <w:t xml:space="preserve"> szélesítéséhez. A külföldi doktorandusz hallgatók nagyobb létszámú beiskolázását akadályozza a konzulensek természetes befogadóképességi korlátja. Újabb, magas színvonalon képzett, igényes szakmai segítséget nyújtani képes </w:t>
      </w:r>
      <w:r>
        <w:t>témavezetők</w:t>
      </w:r>
      <w:r w:rsidRPr="00501F68">
        <w:t xml:space="preserve"> bekapcsolása az angol nyelvű alprogram bővítését tenné lehetővé.</w:t>
      </w:r>
      <w:r>
        <w:t xml:space="preserve"> </w:t>
      </w:r>
      <w:proofErr w:type="spellStart"/>
      <w:r>
        <w:t>Mindehhez</w:t>
      </w:r>
      <w:proofErr w:type="spellEnd"/>
      <w:r>
        <w:t xml:space="preserve"> célszerűnek látjuk felhasználni a Közgazdaságtudományi Kar széles nemzetközi kapcsolatrendszerét, a partnerintézmények (pl. </w:t>
      </w:r>
      <w:proofErr w:type="spellStart"/>
      <w:r>
        <w:t>Middlesex</w:t>
      </w:r>
      <w:proofErr w:type="spellEnd"/>
      <w:r>
        <w:t xml:space="preserve"> </w:t>
      </w:r>
      <w:proofErr w:type="spellStart"/>
      <w:r>
        <w:t>Univerity</w:t>
      </w:r>
      <w:proofErr w:type="spellEnd"/>
      <w:r>
        <w:t xml:space="preserve">, London; Ohio </w:t>
      </w:r>
      <w:proofErr w:type="spellStart"/>
      <w:r>
        <w:t>State</w:t>
      </w:r>
      <w:proofErr w:type="spellEnd"/>
      <w:r>
        <w:t xml:space="preserve"> University, USA, Victoria University, </w:t>
      </w:r>
      <w:proofErr w:type="spellStart"/>
      <w:r>
        <w:t>Canada</w:t>
      </w:r>
      <w:proofErr w:type="spellEnd"/>
      <w:r>
        <w:t>) elkötelezett, magas nemzetközi láthatósággal bíró oktatóinak kapacitását.</w:t>
      </w:r>
    </w:p>
    <w:p w14:paraId="1DBC0066" w14:textId="3C3F1DE9" w:rsidR="00B66520" w:rsidRPr="00501F68" w:rsidRDefault="00B66520" w:rsidP="00B66520">
      <w:r w:rsidRPr="00501F68">
        <w:t xml:space="preserve">Fejlesztési lehetőség rejlik a </w:t>
      </w:r>
      <w:r w:rsidRPr="00392128">
        <w:rPr>
          <w:i/>
        </w:rPr>
        <w:t>szakmai-tudományos fórumok</w:t>
      </w:r>
      <w:r w:rsidRPr="00501F68">
        <w:t xml:space="preserve"> célorientált </w:t>
      </w:r>
      <w:r w:rsidRPr="002C4661">
        <w:rPr>
          <w:i/>
        </w:rPr>
        <w:t>szervezés</w:t>
      </w:r>
      <w:r w:rsidRPr="00501F68">
        <w:t xml:space="preserve">ében, s ebben a kutatói fórum rendszeressége ugyanúgy szerepet játszhat, mint saját szervezésű konferenciák, vitanapok tartása, valamint saját kiadású tudományos közlemények sorozatának indítása. A </w:t>
      </w:r>
      <w:r>
        <w:t>Doktori Iskola</w:t>
      </w:r>
      <w:r w:rsidRPr="00501F68">
        <w:t xml:space="preserve"> eddigi működtetésének vezérlő elve ebben a tekintetben az volt, hogy kerüljük a doktorandusz hallgatói teljesítmények belterjes megmérettetését, s adjunk minél szélesebb teret a publikációs piaci versenynek. Az időközben szerzett tapasztalatok alapján be kell látnunk, hogy proaktív kezdeményezéseinkkel többet tehetnénk a hallgatók publikációs esélyeinek javítása érdekében.</w:t>
      </w:r>
    </w:p>
    <w:p w14:paraId="437A5A9C" w14:textId="77777777" w:rsidR="00B66520" w:rsidRDefault="00B66520" w:rsidP="00B66520">
      <w:r w:rsidRPr="00501F68">
        <w:t xml:space="preserve">A nappali </w:t>
      </w:r>
      <w:proofErr w:type="spellStart"/>
      <w:r w:rsidRPr="00501F68">
        <w:t>tagozatos</w:t>
      </w:r>
      <w:proofErr w:type="spellEnd"/>
      <w:r w:rsidRPr="00501F68">
        <w:t xml:space="preserve"> hallgatók az eddigiekben is jelentős oktatási, tanszéki segéderői feladatokat láttak el, ugyanakkor azt is látjuk, hogy az ebben rejlő potenciális lehetőségeket csak részben hasznosítottuk. </w:t>
      </w:r>
      <w:r w:rsidRPr="002C4661">
        <w:rPr>
          <w:i/>
        </w:rPr>
        <w:t>Doktorandusz hallgatóink</w:t>
      </w:r>
      <w:r w:rsidRPr="00501F68">
        <w:t xml:space="preserve"> tanszéki, intézeti, kari </w:t>
      </w:r>
      <w:r w:rsidRPr="002C4661">
        <w:rPr>
          <w:i/>
        </w:rPr>
        <w:t>foglalkoztatását</w:t>
      </w:r>
      <w:r w:rsidRPr="002C4661">
        <w:t xml:space="preserve"> </w:t>
      </w:r>
      <w:r w:rsidRPr="00501F68">
        <w:t>folyamatossá és szervezetté kívánjuk tenni.</w:t>
      </w:r>
      <w:r>
        <w:t xml:space="preserve"> A hallgatók foglalkoztatásával három célt kívánunk elérni: a doktoranduszok oktatói tapasztalatra tesznek szert; bekapcsolódhatnak nemzetközi érdeklődésre is számot tartó alkalmazott kutatási programokba; jövedelem-kiegészítésre tehetnek szert.</w:t>
      </w:r>
    </w:p>
    <w:p w14:paraId="182A5288" w14:textId="4E278A10" w:rsidR="00B66520" w:rsidRPr="00501F68" w:rsidRDefault="00B66520" w:rsidP="00B66520">
      <w:r w:rsidRPr="00501F68">
        <w:lastRenderedPageBreak/>
        <w:t xml:space="preserve">A működést </w:t>
      </w:r>
      <w:r w:rsidRPr="002C4661">
        <w:rPr>
          <w:i/>
        </w:rPr>
        <w:t>veszélyeztető</w:t>
      </w:r>
      <w:r w:rsidRPr="00501F68">
        <w:t xml:space="preserve"> elemek közé sorolható a </w:t>
      </w:r>
      <w:r w:rsidRPr="002C4661">
        <w:rPr>
          <w:i/>
        </w:rPr>
        <w:t>beiskolázási bázis szűkülése</w:t>
      </w:r>
      <w:r w:rsidRPr="00501F68">
        <w:t xml:space="preserve">. Az egyéni felkészülési programban 21 jelölt szerzett doktori fokozatot a </w:t>
      </w:r>
      <w:r w:rsidR="006D5D60">
        <w:t>d</w:t>
      </w:r>
      <w:r>
        <w:t xml:space="preserve">oktori </w:t>
      </w:r>
      <w:r w:rsidR="006D5D60">
        <w:t>i</w:t>
      </w:r>
      <w:r>
        <w:t>skola</w:t>
      </w:r>
      <w:r w:rsidRPr="00501F68">
        <w:t xml:space="preserve"> eddigi fennállása alatt. A programban résztvevők többsége olyan oktató vagy kutató volt, aki valamilyen okból lemaradt a kandidátusi fokozat megszerzéséről. Az utóbbi években az egyéni program keretében fokozatot szerezni kívánók száma jelentősen csökkent, a </w:t>
      </w:r>
      <w:r>
        <w:t>Doktori Iskola</w:t>
      </w:r>
      <w:r w:rsidRPr="00501F68">
        <w:t xml:space="preserve"> e bázisa természetes szűkülés folytán összezsugorodik. A </w:t>
      </w:r>
      <w:r>
        <w:t>szervezett képzésre</w:t>
      </w:r>
      <w:r w:rsidRPr="00501F68">
        <w:t xml:space="preserve"> jelentkezők száma évente – egészen a legutóbbi időkig – </w:t>
      </w:r>
      <w:r>
        <w:t xml:space="preserve">10-15 </w:t>
      </w:r>
      <w:r w:rsidRPr="00501F68">
        <w:t xml:space="preserve"> fő körül volt, de az utóbbi egy-két évben ez </w:t>
      </w:r>
      <w:r>
        <w:t>5-8</w:t>
      </w:r>
      <w:r w:rsidRPr="00501F68">
        <w:t xml:space="preserve"> fő körüli jelentkezőre csökkent. </w:t>
      </w:r>
      <w:r>
        <w:t xml:space="preserve">Ennek elsődleges oka, hogy a kétszintű oktatási rendszerben már (nappali </w:t>
      </w:r>
      <w:proofErr w:type="spellStart"/>
      <w:r>
        <w:t>tagozatos</w:t>
      </w:r>
      <w:proofErr w:type="spellEnd"/>
      <w:r>
        <w:t>) mesterképzésre is egyre kevesebben járnak, ami a beiskolázási bázist szűkíti. Ráadásul az igazán tehetséges hallgatók már az alapképzés kötelező szakmai gyakorlata során „elkelnek” a munkaerő-piacon, az ő „visszacsábításuk” a jelenlegi legfontosabb feladatunk.</w:t>
      </w:r>
    </w:p>
    <w:p w14:paraId="44AA58E1" w14:textId="54D1781A" w:rsidR="00B66520" w:rsidRPr="00501F68" w:rsidRDefault="00B66520" w:rsidP="00A80C68">
      <w:r w:rsidRPr="00501F68">
        <w:t xml:space="preserve">Összefoglalóan megállapítható, hogy a Gazdálkodástani </w:t>
      </w:r>
      <w:r>
        <w:t>Doktori Iskola</w:t>
      </w:r>
      <w:r w:rsidRPr="00501F68">
        <w:t xml:space="preserve"> az elmúlt 2</w:t>
      </w:r>
      <w:r>
        <w:t>5</w:t>
      </w:r>
      <w:r w:rsidRPr="00501F68">
        <w:t xml:space="preserve"> évben a szervezés- és gazdálkodástudományi doktori képzés területén ismert és szakmai-tudományos értelemben elismert intézménnyé fejlődött. Magas követelmények állításával elértük azt, hogy fokozatot szerzett doktorandusz hallgatóink magas színvonalú tudományos teljesítménnyel, nívós publikációkkal érik el a fokozatot. A </w:t>
      </w:r>
      <w:r w:rsidR="009F2031">
        <w:t>d</w:t>
      </w:r>
      <w:r>
        <w:t xml:space="preserve">oktori </w:t>
      </w:r>
      <w:r w:rsidR="009F2031">
        <w:t>i</w:t>
      </w:r>
      <w:r>
        <w:t>skola</w:t>
      </w:r>
      <w:r w:rsidRPr="00501F68">
        <w:t xml:space="preserve"> működtetői szigorúan ragaszkodnak a teljesítményalapú elismerés megadásához, s kizárják az érdemtelen fokozatszerzés lehetőségét. A </w:t>
      </w:r>
      <w:r w:rsidR="009F2031">
        <w:t>d</w:t>
      </w:r>
      <w:r>
        <w:t xml:space="preserve">oktori </w:t>
      </w:r>
      <w:r w:rsidR="009F2031">
        <w:t>i</w:t>
      </w:r>
      <w:r>
        <w:t>skola</w:t>
      </w:r>
      <w:r w:rsidRPr="00501F68">
        <w:t xml:space="preserve"> kezdetektől működő szakmai vezető testülete </w:t>
      </w:r>
      <w:r>
        <w:t xml:space="preserve">(Doktori Iskola Tanácsa) </w:t>
      </w:r>
      <w:r w:rsidRPr="00501F68">
        <w:t>mindenkor törekedett a magas szakmai nívó megőrzésére és következetes érvényesítésére</w:t>
      </w:r>
      <w:r w:rsidR="00FA459F">
        <w:t>.</w:t>
      </w:r>
    </w:p>
    <w:p w14:paraId="79BAA1E1" w14:textId="02F96E5E" w:rsidR="004D6E13" w:rsidRPr="00EF63FE" w:rsidRDefault="006B0D57" w:rsidP="00FA459F">
      <w:pPr>
        <w:pStyle w:val="Cmsor2"/>
        <w:spacing w:before="480" w:after="240"/>
      </w:pPr>
      <w:bookmarkStart w:id="1" w:name="_Toc124509783"/>
      <w:r>
        <w:t>Stratégiai c</w:t>
      </w:r>
      <w:r w:rsidR="004D6E13" w:rsidRPr="00EF63FE">
        <w:t>élok</w:t>
      </w:r>
      <w:bookmarkEnd w:id="1"/>
      <w:r>
        <w:t xml:space="preserve"> és </w:t>
      </w:r>
      <w:r w:rsidR="004105D3">
        <w:t xml:space="preserve">a megvalósításukhoz tervezett </w:t>
      </w:r>
      <w:r>
        <w:t>akciók</w:t>
      </w:r>
    </w:p>
    <w:p w14:paraId="638BEDAA" w14:textId="77777777" w:rsidR="000A7518" w:rsidRDefault="000A7518" w:rsidP="000A7518">
      <w:r w:rsidRPr="0062468A">
        <w:t xml:space="preserve">A fentiekben megfogalmazott misszió kiteljesítéséhez részletesebb célok, stratégiák, akciók megfogalmazása szükséges. A </w:t>
      </w:r>
      <w:r>
        <w:t>leg</w:t>
      </w:r>
      <w:r w:rsidRPr="0062468A">
        <w:t>fontosabb célok</w:t>
      </w:r>
      <w:r>
        <w:t>at és akciókat szemlélteti az alábbi ábra:</w:t>
      </w:r>
    </w:p>
    <w:p w14:paraId="0A297D76" w14:textId="77777777" w:rsidR="000A7518" w:rsidRDefault="000A7518" w:rsidP="000A7518"/>
    <w:tbl>
      <w:tblPr>
        <w:tblStyle w:val="Rcsostblzat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080"/>
        <w:gridCol w:w="1080"/>
        <w:gridCol w:w="387"/>
        <w:gridCol w:w="360"/>
        <w:gridCol w:w="333"/>
        <w:gridCol w:w="2502"/>
        <w:gridCol w:w="360"/>
        <w:gridCol w:w="198"/>
        <w:gridCol w:w="720"/>
        <w:gridCol w:w="360"/>
        <w:gridCol w:w="1620"/>
      </w:tblGrid>
      <w:tr w:rsidR="000A7518" w:rsidRPr="00933BED" w14:paraId="5D733616" w14:textId="77777777" w:rsidTr="00971E05">
        <w:tc>
          <w:tcPr>
            <w:tcW w:w="28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BEBE27" w14:textId="18C2B1B6" w:rsidR="000A7518" w:rsidRPr="00933BED" w:rsidRDefault="000A7518" w:rsidP="00971E05">
            <w:pPr>
              <w:spacing w:before="40" w:after="40"/>
              <w:jc w:val="center"/>
              <w:rPr>
                <w:b/>
              </w:rPr>
            </w:pPr>
            <w:r w:rsidRPr="00933BED">
              <w:rPr>
                <w:b/>
              </w:rPr>
              <w:t>Hagyomány</w:t>
            </w:r>
            <w:r>
              <w:rPr>
                <w:b/>
              </w:rPr>
              <w:t xml:space="preserve"> é</w:t>
            </w:r>
            <w:r w:rsidRPr="00933BED">
              <w:rPr>
                <w:b/>
              </w:rPr>
              <w:t xml:space="preserve">s minőség </w:t>
            </w: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91D767" w14:textId="77777777" w:rsidR="000A7518" w:rsidRPr="00933BED" w:rsidRDefault="000A7518" w:rsidP="00971E0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1605C" w14:textId="77777777" w:rsidR="000A7518" w:rsidRPr="00933BED" w:rsidRDefault="000A7518" w:rsidP="00971E05">
            <w:pPr>
              <w:spacing w:before="40" w:after="40"/>
              <w:jc w:val="center"/>
              <w:rPr>
                <w:b/>
              </w:rPr>
            </w:pPr>
            <w:r w:rsidRPr="00933BED">
              <w:rPr>
                <w:b/>
              </w:rPr>
              <w:t>Nemzetközi láthatóság</w:t>
            </w: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DA9060" w14:textId="77777777" w:rsidR="000A7518" w:rsidRPr="00933BED" w:rsidRDefault="000A7518" w:rsidP="00971E0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28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E17C87" w14:textId="7DF599FF" w:rsidR="000A7518" w:rsidRPr="00933BED" w:rsidRDefault="007F56B1" w:rsidP="00971E0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Ökoszisztéma-építés</w:t>
            </w:r>
            <w:r w:rsidR="000A7518" w:rsidRPr="00933BED">
              <w:rPr>
                <w:b/>
              </w:rPr>
              <w:t xml:space="preserve"> </w:t>
            </w:r>
          </w:p>
        </w:tc>
      </w:tr>
      <w:tr w:rsidR="000A7518" w14:paraId="142909C6" w14:textId="77777777" w:rsidTr="00971E05">
        <w:trPr>
          <w:gridBefore w:val="1"/>
          <w:wBefore w:w="288" w:type="dxa"/>
          <w:trHeight w:hRule="exact" w:val="284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7EECB2D" w14:textId="77777777" w:rsidR="000A7518" w:rsidRDefault="000A7518" w:rsidP="00971E05">
            <w:pPr>
              <w:spacing w:before="40" w:after="40"/>
            </w:pPr>
          </w:p>
        </w:tc>
        <w:tc>
          <w:tcPr>
            <w:tcW w:w="693" w:type="dxa"/>
            <w:gridSpan w:val="2"/>
            <w:tcBorders>
              <w:right w:val="single" w:sz="4" w:space="0" w:color="auto"/>
            </w:tcBorders>
          </w:tcPr>
          <w:p w14:paraId="0EF54761" w14:textId="77777777" w:rsidR="000A7518" w:rsidRDefault="000A7518" w:rsidP="00971E05">
            <w:pPr>
              <w:spacing w:before="40" w:after="40"/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</w:tcPr>
          <w:p w14:paraId="72C01965" w14:textId="77777777" w:rsidR="000A7518" w:rsidRPr="00933BED" w:rsidRDefault="000A7518" w:rsidP="00971E05">
            <w:pPr>
              <w:spacing w:before="40" w:after="40"/>
            </w:pPr>
          </w:p>
        </w:tc>
        <w:tc>
          <w:tcPr>
            <w:tcW w:w="558" w:type="dxa"/>
            <w:gridSpan w:val="2"/>
            <w:tcBorders>
              <w:right w:val="single" w:sz="4" w:space="0" w:color="auto"/>
            </w:tcBorders>
          </w:tcPr>
          <w:p w14:paraId="4E9B2AA1" w14:textId="77777777" w:rsidR="000A7518" w:rsidRDefault="000A7518" w:rsidP="00971E05">
            <w:pPr>
              <w:spacing w:before="40" w:after="40"/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1BF54E8" w14:textId="77777777" w:rsidR="000A7518" w:rsidRPr="00933BED" w:rsidRDefault="000A7518" w:rsidP="00971E05">
            <w:pPr>
              <w:spacing w:before="40" w:after="40"/>
            </w:pPr>
          </w:p>
        </w:tc>
      </w:tr>
      <w:tr w:rsidR="000A7518" w14:paraId="3C539B26" w14:textId="77777777" w:rsidTr="00971E05">
        <w:trPr>
          <w:gridBefore w:val="1"/>
          <w:wBefore w:w="288" w:type="dxa"/>
        </w:trPr>
        <w:tc>
          <w:tcPr>
            <w:tcW w:w="254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5689AF8" w14:textId="77777777" w:rsidR="000A7518" w:rsidRPr="00DA4DBE" w:rsidRDefault="000A7518" w:rsidP="003E082A">
            <w:pPr>
              <w:spacing w:before="40" w:after="40"/>
              <w:jc w:val="left"/>
              <w:rPr>
                <w:sz w:val="20"/>
                <w:szCs w:val="20"/>
              </w:rPr>
            </w:pPr>
            <w:r w:rsidRPr="00DA4DBE">
              <w:rPr>
                <w:sz w:val="20"/>
                <w:szCs w:val="20"/>
              </w:rPr>
              <w:t xml:space="preserve">Akkreditációs erő </w:t>
            </w:r>
            <w:r>
              <w:rPr>
                <w:sz w:val="20"/>
                <w:szCs w:val="20"/>
              </w:rPr>
              <w:t>megőrzése</w:t>
            </w:r>
          </w:p>
        </w:tc>
        <w:tc>
          <w:tcPr>
            <w:tcW w:w="693" w:type="dxa"/>
            <w:gridSpan w:val="2"/>
            <w:tcBorders>
              <w:right w:val="single" w:sz="4" w:space="0" w:color="auto"/>
            </w:tcBorders>
          </w:tcPr>
          <w:p w14:paraId="190DCBC0" w14:textId="77777777" w:rsidR="000A7518" w:rsidRDefault="000A7518" w:rsidP="003E082A">
            <w:pPr>
              <w:spacing w:before="40" w:after="40"/>
              <w:jc w:val="left"/>
            </w:pPr>
          </w:p>
        </w:tc>
        <w:tc>
          <w:tcPr>
            <w:tcW w:w="2502" w:type="dxa"/>
            <w:tcBorders>
              <w:left w:val="single" w:sz="4" w:space="0" w:color="auto"/>
              <w:bottom w:val="single" w:sz="4" w:space="0" w:color="auto"/>
            </w:tcBorders>
          </w:tcPr>
          <w:p w14:paraId="414E4C4F" w14:textId="113177EF" w:rsidR="000A7518" w:rsidRPr="00DA4DBE" w:rsidRDefault="009262A5" w:rsidP="003E082A">
            <w:pPr>
              <w:spacing w:before="40" w:after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Angol nyelvű program </w:t>
            </w:r>
            <w:r w:rsidR="003E082A">
              <w:rPr>
                <w:sz w:val="20"/>
                <w:szCs w:val="20"/>
              </w:rPr>
              <w:t>fejlesztése</w:t>
            </w:r>
          </w:p>
        </w:tc>
        <w:tc>
          <w:tcPr>
            <w:tcW w:w="558" w:type="dxa"/>
            <w:gridSpan w:val="2"/>
            <w:tcBorders>
              <w:right w:val="single" w:sz="4" w:space="0" w:color="auto"/>
            </w:tcBorders>
          </w:tcPr>
          <w:p w14:paraId="73D23814" w14:textId="77777777" w:rsidR="000A7518" w:rsidRDefault="000A7518" w:rsidP="003E082A">
            <w:pPr>
              <w:spacing w:before="40" w:after="40"/>
              <w:jc w:val="left"/>
            </w:pPr>
          </w:p>
        </w:tc>
        <w:tc>
          <w:tcPr>
            <w:tcW w:w="270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2BE5F1C" w14:textId="03222D1B" w:rsidR="000A7518" w:rsidRPr="00DA4DBE" w:rsidRDefault="00D965D4" w:rsidP="003E082A">
            <w:pPr>
              <w:spacing w:before="40" w:after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Alkalmazott kutatási témák hirdetése</w:t>
            </w:r>
          </w:p>
        </w:tc>
      </w:tr>
      <w:tr w:rsidR="000A7518" w14:paraId="7971C2A7" w14:textId="77777777" w:rsidTr="00971E05">
        <w:trPr>
          <w:gridBefore w:val="1"/>
          <w:wBefore w:w="288" w:type="dxa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3E2CF" w14:textId="2528E5D5" w:rsidR="000A7518" w:rsidRPr="00DA4DBE" w:rsidRDefault="008E616D" w:rsidP="003E082A">
            <w:pPr>
              <w:spacing w:before="40" w:after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Tanterv </w:t>
            </w:r>
            <w:r w:rsidR="00D37A8C">
              <w:rPr>
                <w:sz w:val="20"/>
                <w:szCs w:val="20"/>
              </w:rPr>
              <w:t>rugalmas átalakítása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93" w:type="dxa"/>
            <w:gridSpan w:val="2"/>
            <w:tcBorders>
              <w:right w:val="single" w:sz="4" w:space="0" w:color="auto"/>
            </w:tcBorders>
          </w:tcPr>
          <w:p w14:paraId="6ED10F84" w14:textId="77777777" w:rsidR="000A7518" w:rsidRDefault="000A7518" w:rsidP="003E082A">
            <w:pPr>
              <w:spacing w:before="40" w:after="40"/>
              <w:jc w:val="left"/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D1F94" w14:textId="1309B914" w:rsidR="000A7518" w:rsidRPr="00DA4DBE" w:rsidRDefault="001F22FD" w:rsidP="003E082A">
            <w:pPr>
              <w:spacing w:before="40" w:after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Konferencia-</w:t>
            </w:r>
            <w:r w:rsidR="00CF012D">
              <w:rPr>
                <w:sz w:val="20"/>
                <w:szCs w:val="20"/>
              </w:rPr>
              <w:t>aktivitás növelése</w:t>
            </w:r>
          </w:p>
        </w:tc>
        <w:tc>
          <w:tcPr>
            <w:tcW w:w="558" w:type="dxa"/>
            <w:gridSpan w:val="2"/>
            <w:tcBorders>
              <w:right w:val="single" w:sz="4" w:space="0" w:color="auto"/>
            </w:tcBorders>
          </w:tcPr>
          <w:p w14:paraId="5AC16EDE" w14:textId="77777777" w:rsidR="000A7518" w:rsidRDefault="000A7518" w:rsidP="003E082A">
            <w:pPr>
              <w:spacing w:before="40" w:after="40"/>
              <w:jc w:val="left"/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72F63" w14:textId="53B6895F" w:rsidR="000A7518" w:rsidRPr="00DA4DBE" w:rsidRDefault="00D26C11" w:rsidP="003E082A">
            <w:pPr>
              <w:spacing w:before="40" w:after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Kutatói életpályák újragondolása</w:t>
            </w:r>
          </w:p>
        </w:tc>
      </w:tr>
      <w:tr w:rsidR="000A7518" w14:paraId="5D12EE0D" w14:textId="77777777" w:rsidTr="00971E05">
        <w:trPr>
          <w:gridBefore w:val="1"/>
          <w:wBefore w:w="288" w:type="dxa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56AC5" w14:textId="6E745CF5" w:rsidR="000A7518" w:rsidRPr="00DA4DBE" w:rsidRDefault="00D37A8C" w:rsidP="003E082A">
            <w:pPr>
              <w:spacing w:before="40" w:after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Publikációs </w:t>
            </w:r>
            <w:r w:rsidR="009262A5">
              <w:rPr>
                <w:sz w:val="20"/>
                <w:szCs w:val="20"/>
              </w:rPr>
              <w:t>követelmények növelése</w:t>
            </w:r>
          </w:p>
        </w:tc>
        <w:tc>
          <w:tcPr>
            <w:tcW w:w="693" w:type="dxa"/>
            <w:gridSpan w:val="2"/>
            <w:tcBorders>
              <w:right w:val="single" w:sz="4" w:space="0" w:color="auto"/>
            </w:tcBorders>
          </w:tcPr>
          <w:p w14:paraId="2E1DC2D6" w14:textId="77777777" w:rsidR="000A7518" w:rsidRDefault="000A7518" w:rsidP="003E082A">
            <w:pPr>
              <w:spacing w:before="40" w:after="40"/>
              <w:jc w:val="left"/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85938" w14:textId="553F136D" w:rsidR="000A7518" w:rsidRPr="00DA4DBE" w:rsidRDefault="000A7518" w:rsidP="003E082A">
            <w:pPr>
              <w:spacing w:before="40" w:after="40"/>
              <w:jc w:val="left"/>
              <w:rPr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right w:val="single" w:sz="4" w:space="0" w:color="auto"/>
            </w:tcBorders>
          </w:tcPr>
          <w:p w14:paraId="0F138C25" w14:textId="77777777" w:rsidR="000A7518" w:rsidRDefault="000A7518" w:rsidP="003E082A">
            <w:pPr>
              <w:spacing w:before="40" w:after="40"/>
              <w:jc w:val="left"/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40FE6" w14:textId="6FD90EDE" w:rsidR="000A7518" w:rsidRPr="00DA4DBE" w:rsidRDefault="00CD5B05" w:rsidP="003E082A">
            <w:pPr>
              <w:spacing w:before="40" w:after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KTK-n kiadott lapok (Szigma, M&amp;M) preferálása</w:t>
            </w:r>
          </w:p>
        </w:tc>
      </w:tr>
      <w:tr w:rsidR="000A7518" w14:paraId="294A36BD" w14:textId="77777777" w:rsidTr="00971E05">
        <w:tc>
          <w:tcPr>
            <w:tcW w:w="9288" w:type="dxa"/>
            <w:gridSpan w:val="12"/>
          </w:tcPr>
          <w:p w14:paraId="6A4D0F20" w14:textId="77777777" w:rsidR="000A7518" w:rsidRPr="00933BED" w:rsidRDefault="000A7518" w:rsidP="00971E05">
            <w:pPr>
              <w:spacing w:before="40" w:after="40"/>
            </w:pPr>
          </w:p>
        </w:tc>
      </w:tr>
      <w:tr w:rsidR="000A7518" w14:paraId="0FF9B923" w14:textId="77777777" w:rsidTr="00971E05">
        <w:trPr>
          <w:gridBefore w:val="2"/>
          <w:gridAfter w:val="1"/>
          <w:wBefore w:w="1368" w:type="dxa"/>
          <w:wAfter w:w="1620" w:type="dxa"/>
        </w:trPr>
        <w:tc>
          <w:tcPr>
            <w:tcW w:w="630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2AAA8" w14:textId="77777777" w:rsidR="000A7518" w:rsidRPr="00933BED" w:rsidRDefault="000A7518" w:rsidP="00971E0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Rugalmas alkalmazkodás</w:t>
            </w:r>
          </w:p>
        </w:tc>
      </w:tr>
      <w:tr w:rsidR="000A7518" w14:paraId="0DDE09EE" w14:textId="77777777" w:rsidTr="00971E05">
        <w:trPr>
          <w:gridBefore w:val="3"/>
          <w:gridAfter w:val="2"/>
          <w:wBefore w:w="2448" w:type="dxa"/>
          <w:wAfter w:w="1980" w:type="dxa"/>
          <w:trHeight w:hRule="exact" w:val="284"/>
        </w:trPr>
        <w:tc>
          <w:tcPr>
            <w:tcW w:w="4860" w:type="dxa"/>
            <w:gridSpan w:val="7"/>
            <w:tcBorders>
              <w:left w:val="single" w:sz="4" w:space="0" w:color="auto"/>
            </w:tcBorders>
          </w:tcPr>
          <w:p w14:paraId="7A403FD7" w14:textId="77777777" w:rsidR="000A7518" w:rsidRPr="00933BED" w:rsidRDefault="000A7518" w:rsidP="00971E05">
            <w:pPr>
              <w:spacing w:before="40" w:after="40"/>
            </w:pPr>
          </w:p>
        </w:tc>
      </w:tr>
      <w:tr w:rsidR="000A7518" w14:paraId="2E853A24" w14:textId="77777777" w:rsidTr="00971E05">
        <w:trPr>
          <w:gridBefore w:val="3"/>
          <w:gridAfter w:val="2"/>
          <w:wBefore w:w="2448" w:type="dxa"/>
          <w:wAfter w:w="1980" w:type="dxa"/>
        </w:trPr>
        <w:tc>
          <w:tcPr>
            <w:tcW w:w="486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1A2F9574" w14:textId="7206D7C8" w:rsidR="000A7518" w:rsidRPr="00DA4DBE" w:rsidRDefault="00D26C11" w:rsidP="00971E0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Szabályozottság fokozása</w:t>
            </w:r>
          </w:p>
        </w:tc>
      </w:tr>
      <w:tr w:rsidR="000A7518" w14:paraId="4A8E85CA" w14:textId="77777777" w:rsidTr="00971E05">
        <w:trPr>
          <w:gridBefore w:val="3"/>
          <w:gridAfter w:val="2"/>
          <w:wBefore w:w="2448" w:type="dxa"/>
          <w:wAfter w:w="1980" w:type="dxa"/>
        </w:trPr>
        <w:tc>
          <w:tcPr>
            <w:tcW w:w="4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436FE" w14:textId="44B098CA" w:rsidR="000A7518" w:rsidRPr="00DA4DBE" w:rsidRDefault="00D26C11" w:rsidP="00971E0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Digitális technikák beépítése</w:t>
            </w:r>
          </w:p>
        </w:tc>
      </w:tr>
    </w:tbl>
    <w:p w14:paraId="2DAB0FE2" w14:textId="4BE677BA" w:rsidR="009A7E1A" w:rsidRDefault="009A7E1A" w:rsidP="000A7518">
      <w:pPr>
        <w:rPr>
          <w:iCs/>
        </w:rPr>
      </w:pPr>
    </w:p>
    <w:p w14:paraId="05D413F7" w14:textId="646DEB58" w:rsidR="00F12EED" w:rsidRDefault="003277B7" w:rsidP="005055A7">
      <w:pPr>
        <w:pStyle w:val="Cmsor3"/>
      </w:pPr>
      <w:r>
        <w:lastRenderedPageBreak/>
        <w:t>Hagyomány és minőség</w:t>
      </w:r>
    </w:p>
    <w:p w14:paraId="7ED6B23D" w14:textId="77777777" w:rsidR="003277B7" w:rsidRPr="0062468A" w:rsidRDefault="003277B7" w:rsidP="00E04069">
      <w:pPr>
        <w:pStyle w:val="Cmsor4"/>
      </w:pPr>
      <w:r w:rsidRPr="0062468A">
        <w:t>Akkreditációs erő megőrzése</w:t>
      </w:r>
    </w:p>
    <w:p w14:paraId="67EF640A" w14:textId="77777777" w:rsidR="004B213D" w:rsidRDefault="004B213D" w:rsidP="003277B7">
      <w:pPr>
        <w:spacing w:before="40"/>
      </w:pPr>
    </w:p>
    <w:p w14:paraId="0D80D8A2" w14:textId="03136ADF" w:rsidR="003277B7" w:rsidRDefault="008115F8" w:rsidP="003277B7">
      <w:pPr>
        <w:spacing w:before="40"/>
      </w:pPr>
      <w:r>
        <w:t>A PTE hatályos szabályzatai értelmében doktori iskola vezető csak aktív korú, MTA doktora fokozattal rendelkező, teljes akkreditációs erejét a PTE-n beszámíttató egyetemi tanár lehet.</w:t>
      </w:r>
      <w:r w:rsidR="00C22409">
        <w:t xml:space="preserve"> Jelenleg (2019. ősz) </w:t>
      </w:r>
      <w:r w:rsidR="00A80C68">
        <w:t>a törzstagok között ketten felelnek meg ennek a követelménynek, de 2021. őszi félévtől kezdve már csak a jelenlegi iskolavezető teljesíti a követelményt.</w:t>
      </w:r>
    </w:p>
    <w:p w14:paraId="2761DDC5" w14:textId="1BB64B64" w:rsidR="00A80C68" w:rsidRDefault="00A80C68" w:rsidP="00A80C68">
      <w:r>
        <w:t xml:space="preserve">Mindenképpen törekedni kell arra, hogy a törzstagok potenciális körét bővítsük, ehhez </w:t>
      </w:r>
      <w:r w:rsidR="004D5CF6">
        <w:t>számba kell venni a PTE KTK habilitált docensei közül azokat, akik habilitációval rendelkeznek</w:t>
      </w:r>
      <w:r w:rsidR="009E729C">
        <w:t xml:space="preserve"> és kutatási területük a gazdálkodás- és szervezéstudomány, vagy annak határterületei</w:t>
      </w:r>
      <w:r w:rsidR="004D5CF6">
        <w:t xml:space="preserve">. </w:t>
      </w:r>
      <w:r w:rsidR="009E729C">
        <w:t xml:space="preserve">Érdemes kiépíteni egy „előrehaladási rendszert”, amelyben a néhány éve fokozatot </w:t>
      </w:r>
      <w:r w:rsidR="004C4C64">
        <w:t xml:space="preserve">szerzett fiatal kollégák előbb társtémavezetőként, majd önállóan doktori témavezetést vállalnak; ezt követően a habilitáció megszerzését követően </w:t>
      </w:r>
      <w:r w:rsidR="000F6B2B">
        <w:t>oktatói feladatokat is kapnak a doktori iskolában; végül – már az egyetemi tanári kinevezés feltételeinek erőteljes megközelítés</w:t>
      </w:r>
      <w:r w:rsidR="00C56050">
        <w:t>ét feltételezve – törzstagként bekap</w:t>
      </w:r>
      <w:r w:rsidR="00FE6820">
        <w:t>cs</w:t>
      </w:r>
      <w:r w:rsidR="00C56050">
        <w:t>olódnak a doktori iskola munkájába.</w:t>
      </w:r>
      <w:r w:rsidR="00FE6820">
        <w:t xml:space="preserve"> </w:t>
      </w:r>
    </w:p>
    <w:p w14:paraId="643F79E6" w14:textId="791BA5EC" w:rsidR="00F5035F" w:rsidRPr="0062468A" w:rsidRDefault="009B76C7" w:rsidP="00507FD6">
      <w:pPr>
        <w:ind w:left="709" w:hanging="709"/>
      </w:pPr>
      <w:r w:rsidRPr="009B76C7">
        <w:rPr>
          <w:i/>
          <w:iCs/>
        </w:rPr>
        <w:t>Akció</w:t>
      </w:r>
      <w:r>
        <w:t>:</w:t>
      </w:r>
      <w:r w:rsidR="00507FD6">
        <w:tab/>
      </w:r>
      <w:r>
        <w:t xml:space="preserve">a potenciális törzstagokkal </w:t>
      </w:r>
      <w:r w:rsidR="003D2182">
        <w:t xml:space="preserve">tárgyalni, oktatói ranglétrán való előrehaladásukat támogatni, kutatási együttműködésekbe, pályázatba </w:t>
      </w:r>
      <w:r w:rsidR="00507FD6">
        <w:t>a jelölteket intenzíven bevonni (</w:t>
      </w:r>
      <w:r w:rsidR="005B79B1">
        <w:t>jelöltek a mai ismereteink szerint: Takács András, Szűcs Krisztián, Jarjabka Ákos</w:t>
      </w:r>
      <w:r w:rsidR="007E5939">
        <w:t>)</w:t>
      </w:r>
      <w:r w:rsidR="00507FD6">
        <w:t xml:space="preserve"> </w:t>
      </w:r>
    </w:p>
    <w:p w14:paraId="029AEE68" w14:textId="77777777" w:rsidR="007E5939" w:rsidRDefault="007E5939" w:rsidP="00E04069">
      <w:pPr>
        <w:pStyle w:val="Cmsor4"/>
      </w:pPr>
    </w:p>
    <w:p w14:paraId="5F0CD08C" w14:textId="1A5DA209" w:rsidR="007E5939" w:rsidRPr="0062468A" w:rsidRDefault="007E5939" w:rsidP="00E04069">
      <w:pPr>
        <w:pStyle w:val="Cmsor4"/>
      </w:pPr>
      <w:r>
        <w:t>Tanterv rugalmas át</w:t>
      </w:r>
      <w:r w:rsidR="0077019D">
        <w:t>a</w:t>
      </w:r>
      <w:r>
        <w:t>lakítása</w:t>
      </w:r>
    </w:p>
    <w:p w14:paraId="09A9635A" w14:textId="77777777" w:rsidR="007E5939" w:rsidRDefault="007E5939" w:rsidP="007E5939">
      <w:pPr>
        <w:spacing w:before="40"/>
      </w:pPr>
    </w:p>
    <w:p w14:paraId="21D18B38" w14:textId="669AF042" w:rsidR="003277B7" w:rsidRDefault="007E5939" w:rsidP="007E5939">
      <w:r>
        <w:t xml:space="preserve">A GDI jelenlegi tanterve </w:t>
      </w:r>
      <w:r w:rsidR="0077019D">
        <w:t xml:space="preserve">meglehetősen elaprózott, félévenként 8-10 viszonylag kis óraszámú tárgyat tartalmaz. A tanterv jelenlegi formája nagy szolgálatot tett a Kar oktatói állományának, mivel sokunknak biztosította a docensi, tanári előléptetés esetén szükséges doktori képzésben való részvételt. </w:t>
      </w:r>
      <w:r w:rsidR="00312512">
        <w:t xml:space="preserve">Jelenleg – mivel az érintettek korfája jelentősen átalakult, vagyis a kari oktatói gárda jelentősen megfiatalodott – az elaprózott tanterv már prioritás, célszerű azt </w:t>
      </w:r>
      <w:r w:rsidR="00E95E13">
        <w:t xml:space="preserve">szikárabbá, átláthatóbbá és a 2016-ban bevezetett 2+2 éves tanmenethez jobban illeszkedővé tenni. </w:t>
      </w:r>
      <w:r w:rsidR="002D7861">
        <w:t>Ezzel összhangban 3 célt kívánunk megvalósítani:</w:t>
      </w:r>
    </w:p>
    <w:p w14:paraId="5B2159BC" w14:textId="4AC5B8CA" w:rsidR="002D7861" w:rsidRDefault="00803613" w:rsidP="002D7861">
      <w:pPr>
        <w:pStyle w:val="Listaszerbekezds"/>
        <w:numPr>
          <w:ilvl w:val="0"/>
          <w:numId w:val="19"/>
        </w:numPr>
      </w:pPr>
      <w:r>
        <w:t xml:space="preserve">félévenként 4, egyenként 20 órás tárgyra </w:t>
      </w:r>
      <w:r w:rsidR="00ED3F11">
        <w:t xml:space="preserve">kívánjuk </w:t>
      </w:r>
      <w:r>
        <w:t>„redukálni” a képzési időszak tantervét</w:t>
      </w:r>
      <w:r w:rsidR="00C7144C">
        <w:t xml:space="preserve"> (az 1. félévben általános, a kutatáshoz, illetve a látókörbővítéshez kapcsolódó tárgyak, azt követően, a 2-4. félévben a négy funkcionális terület </w:t>
      </w:r>
      <w:r w:rsidR="00ED3F11">
        <w:t>tárgyai);</w:t>
      </w:r>
    </w:p>
    <w:p w14:paraId="7FBA6794" w14:textId="4C6E8386" w:rsidR="00ED3F11" w:rsidRDefault="00ED3F11" w:rsidP="002D7861">
      <w:pPr>
        <w:pStyle w:val="Listaszerbekezds"/>
        <w:numPr>
          <w:ilvl w:val="0"/>
          <w:numId w:val="19"/>
        </w:numPr>
      </w:pPr>
      <w:r>
        <w:t>a magyar és az angol program tantervét a lehető legnagyobb mértékben ekvivalenssé akarjuk tenni;</w:t>
      </w:r>
    </w:p>
    <w:p w14:paraId="3225F720" w14:textId="357A1C0D" w:rsidR="00ED3F11" w:rsidRDefault="00A0383D" w:rsidP="002D7861">
      <w:pPr>
        <w:pStyle w:val="Listaszerbekezds"/>
        <w:numPr>
          <w:ilvl w:val="0"/>
          <w:numId w:val="19"/>
        </w:numPr>
      </w:pPr>
      <w:r>
        <w:t>tanterv-konszolidáció a REGA doktori iskolával, a kari erőforrásokkal való hatékonyabb gazdálkodás érdekében.</w:t>
      </w:r>
    </w:p>
    <w:p w14:paraId="103AFDE8" w14:textId="77777777" w:rsidR="00F6396B" w:rsidRDefault="00F6396B" w:rsidP="00A0383D">
      <w:pPr>
        <w:ind w:left="709" w:hanging="709"/>
        <w:rPr>
          <w:i/>
          <w:iCs/>
        </w:rPr>
      </w:pPr>
    </w:p>
    <w:p w14:paraId="7CBA7DDF" w14:textId="603C9C09" w:rsidR="00A0383D" w:rsidRPr="0062468A" w:rsidRDefault="00A0383D" w:rsidP="00A0383D">
      <w:pPr>
        <w:ind w:left="709" w:hanging="709"/>
      </w:pPr>
      <w:r w:rsidRPr="009B76C7">
        <w:rPr>
          <w:i/>
          <w:iCs/>
        </w:rPr>
        <w:t>Akció</w:t>
      </w:r>
      <w:r>
        <w:t>:</w:t>
      </w:r>
      <w:r>
        <w:tab/>
        <w:t xml:space="preserve">a doktori iskolavezető a magyar programra javaslatot tesz, ennek elfogadását követően az angol program vezetője elkészíti az </w:t>
      </w:r>
      <w:proofErr w:type="spellStart"/>
      <w:r>
        <w:t>IPhD</w:t>
      </w:r>
      <w:proofErr w:type="spellEnd"/>
      <w:r>
        <w:t xml:space="preserve"> tantervet </w:t>
      </w:r>
    </w:p>
    <w:p w14:paraId="10700397" w14:textId="77777777" w:rsidR="009A5E64" w:rsidRDefault="009A5E64" w:rsidP="00E04069">
      <w:pPr>
        <w:pStyle w:val="Cmsor4"/>
      </w:pPr>
    </w:p>
    <w:p w14:paraId="2A146A1F" w14:textId="1C04988D" w:rsidR="009A5E64" w:rsidRPr="0062468A" w:rsidRDefault="009A5E64" w:rsidP="00E04069">
      <w:pPr>
        <w:pStyle w:val="Cmsor4"/>
      </w:pPr>
      <w:r>
        <w:t>Publikációs követelmények növelése</w:t>
      </w:r>
    </w:p>
    <w:p w14:paraId="6C37F449" w14:textId="77777777" w:rsidR="009A5E64" w:rsidRDefault="009A5E64" w:rsidP="009A5E64">
      <w:pPr>
        <w:spacing w:before="40"/>
      </w:pPr>
    </w:p>
    <w:p w14:paraId="39A38A3C" w14:textId="7E46BD95" w:rsidR="009A5E64" w:rsidRDefault="009A5E64" w:rsidP="009A5E64">
      <w:r>
        <w:t xml:space="preserve">A doktori iskola jelenlegi működési szabályzata </w:t>
      </w:r>
      <w:r w:rsidR="00211F89">
        <w:t>a témavezető, az iskolavezető, illetve a bírálati eljárásban részt vevők kompete</w:t>
      </w:r>
      <w:r w:rsidR="00E830FC">
        <w:t xml:space="preserve">nciájába sorolja a védésre készülő doktorandusz publikációs tevékenységének megítélését. Mindezt </w:t>
      </w:r>
      <w:proofErr w:type="spellStart"/>
      <w:r w:rsidR="00E830FC">
        <w:t>szabályozottabbá</w:t>
      </w:r>
      <w:proofErr w:type="spellEnd"/>
      <w:r w:rsidR="00E830FC">
        <w:t xml:space="preserve"> kívánjuk tenni és összhangban a PTE Egyetemi Doktori Ta</w:t>
      </w:r>
      <w:r w:rsidR="00265DF0">
        <w:t>n</w:t>
      </w:r>
      <w:r w:rsidR="00E830FC">
        <w:t xml:space="preserve">ácsának ajánlásával, </w:t>
      </w:r>
      <w:r w:rsidR="00265DF0">
        <w:t xml:space="preserve">a PTE Doktori Szabályzatban foglaltaknál szigorúbban a következő publikációs </w:t>
      </w:r>
      <w:r w:rsidR="00AA0152">
        <w:t>teljesítményt várjuk el a doktori fokozat megszerzéséhez</w:t>
      </w:r>
      <w:r>
        <w:t>:</w:t>
      </w:r>
    </w:p>
    <w:p w14:paraId="51FAE10F" w14:textId="08439D17" w:rsidR="009A5E64" w:rsidRDefault="00AA0152" w:rsidP="009A5E64">
      <w:pPr>
        <w:pStyle w:val="Listaszerbekezds"/>
        <w:numPr>
          <w:ilvl w:val="0"/>
          <w:numId w:val="19"/>
        </w:numPr>
      </w:pPr>
      <w:r>
        <w:t xml:space="preserve">4 nem </w:t>
      </w:r>
      <w:proofErr w:type="spellStart"/>
      <w:r>
        <w:t>predátor</w:t>
      </w:r>
      <w:proofErr w:type="spellEnd"/>
      <w:r>
        <w:t xml:space="preserve"> folyóiratcikk (</w:t>
      </w:r>
      <w:r w:rsidR="000D3844">
        <w:t>akár társszerzős is)</w:t>
      </w:r>
      <w:r w:rsidR="005F5875">
        <w:t>, ezen belül</w:t>
      </w:r>
    </w:p>
    <w:p w14:paraId="2098DE4F" w14:textId="3774B034" w:rsidR="009A5E64" w:rsidRDefault="000D3844" w:rsidP="005F5875">
      <w:pPr>
        <w:pStyle w:val="Listaszerbekezds"/>
        <w:numPr>
          <w:ilvl w:val="1"/>
          <w:numId w:val="19"/>
        </w:numPr>
      </w:pPr>
      <w:r>
        <w:t xml:space="preserve">legalább 1 az MTA GMB aktuális listáján A-C kategóriába sorolt hazai </w:t>
      </w:r>
      <w:r w:rsidR="005F5875">
        <w:t>folyóiratcikk</w:t>
      </w:r>
      <w:r w:rsidR="009A5E64">
        <w:t>;</w:t>
      </w:r>
    </w:p>
    <w:p w14:paraId="239538B8" w14:textId="2A8190F0" w:rsidR="009A5E64" w:rsidRDefault="005F5875" w:rsidP="005F5875">
      <w:pPr>
        <w:pStyle w:val="Listaszerbekezds"/>
        <w:numPr>
          <w:ilvl w:val="1"/>
          <w:numId w:val="19"/>
        </w:numPr>
      </w:pPr>
      <w:r>
        <w:t xml:space="preserve">legalább 1 </w:t>
      </w:r>
      <w:r w:rsidR="00B56766">
        <w:t>nemzetközi folyóiratban megjelent tanulmány</w:t>
      </w:r>
      <w:r w:rsidR="009A5E64">
        <w:t>.</w:t>
      </w:r>
    </w:p>
    <w:p w14:paraId="427D6947" w14:textId="77777777" w:rsidR="00F6396B" w:rsidRDefault="00F6396B" w:rsidP="009A5E64">
      <w:pPr>
        <w:ind w:left="709" w:hanging="709"/>
        <w:rPr>
          <w:i/>
          <w:iCs/>
        </w:rPr>
      </w:pPr>
    </w:p>
    <w:p w14:paraId="2EADB147" w14:textId="2E6DB9CB" w:rsidR="009A5E64" w:rsidRPr="0062468A" w:rsidRDefault="009A5E64" w:rsidP="009A5E64">
      <w:pPr>
        <w:ind w:left="709" w:hanging="709"/>
      </w:pPr>
      <w:r w:rsidRPr="009B76C7">
        <w:rPr>
          <w:i/>
          <w:iCs/>
        </w:rPr>
        <w:t>Akció</w:t>
      </w:r>
      <w:r>
        <w:t>:</w:t>
      </w:r>
      <w:r>
        <w:tab/>
        <w:t xml:space="preserve">a doktori iskolavezető </w:t>
      </w:r>
      <w:r w:rsidR="00AA6498">
        <w:t xml:space="preserve">dolgozzon ki egy egyértelmű, átlátható és </w:t>
      </w:r>
      <w:r w:rsidR="00607300">
        <w:t>teljesíthető követelményrendszert, amely összhangban van az egyetem és kar más, a kutatási teljesítmény outputját szabályozó rendelkezésekkel</w:t>
      </w:r>
      <w:r>
        <w:t xml:space="preserve"> </w:t>
      </w:r>
    </w:p>
    <w:p w14:paraId="25592184" w14:textId="0CEAE308" w:rsidR="002D7861" w:rsidRDefault="002D7861" w:rsidP="00E04069">
      <w:pPr>
        <w:pStyle w:val="Cmsor4"/>
      </w:pPr>
    </w:p>
    <w:p w14:paraId="65DF5DFF" w14:textId="249DD886" w:rsidR="00D13543" w:rsidRDefault="00D13543" w:rsidP="005055A7">
      <w:pPr>
        <w:pStyle w:val="Cmsor3"/>
      </w:pPr>
      <w:r>
        <w:t>Nemzetközi láthatóság</w:t>
      </w:r>
    </w:p>
    <w:p w14:paraId="4525F606" w14:textId="2562EBB5" w:rsidR="00D13543" w:rsidRPr="0062468A" w:rsidRDefault="00462EEF" w:rsidP="00E04069">
      <w:pPr>
        <w:pStyle w:val="Cmsor4"/>
      </w:pPr>
      <w:r>
        <w:t>Angol nyelvű program fejlesztése</w:t>
      </w:r>
    </w:p>
    <w:p w14:paraId="5C5C1DB8" w14:textId="77777777" w:rsidR="00D13543" w:rsidRDefault="00D13543" w:rsidP="00D13543">
      <w:pPr>
        <w:spacing w:before="40"/>
      </w:pPr>
    </w:p>
    <w:p w14:paraId="21F3283D" w14:textId="4A5DF761" w:rsidR="00D13543" w:rsidRDefault="00462EEF" w:rsidP="00D13543">
      <w:r>
        <w:t xml:space="preserve">A nemzetközi hallgatók számára meghirdetett International PhD in Business </w:t>
      </w:r>
      <w:proofErr w:type="spellStart"/>
      <w:r>
        <w:t>Administration</w:t>
      </w:r>
      <w:proofErr w:type="spellEnd"/>
      <w:r>
        <w:t xml:space="preserve"> program </w:t>
      </w:r>
      <w:r w:rsidR="002F193D">
        <w:t xml:space="preserve">mindig a PTE KTK-n futó programok zászlóshajójának számított. A kezdeti időszak (2000-es évek eleje) óta a beiskolázott doktoranduszok </w:t>
      </w:r>
      <w:r w:rsidR="001E650E">
        <w:t xml:space="preserve">küldő ország szerinti megoszlása sokkal heterogénebbé vált, ami egyrészt pozitív eredmény, másrészt viszont a </w:t>
      </w:r>
      <w:r w:rsidR="00F77DE2">
        <w:t>programvezetés számára jelentős kihívásokat okoz. Az angol nyelvű doktori programmal kapcsolatban ismét hármas célt fogalmazunk meg:</w:t>
      </w:r>
    </w:p>
    <w:p w14:paraId="135A99F9" w14:textId="6C5D8240" w:rsidR="00F77DE2" w:rsidRDefault="0066255D" w:rsidP="00F77DE2">
      <w:pPr>
        <w:pStyle w:val="Listaszerbekezds"/>
        <w:numPr>
          <w:ilvl w:val="0"/>
          <w:numId w:val="20"/>
        </w:numPr>
      </w:pPr>
      <w:r>
        <w:t>a hallgatói létszámot stabilizálni kívánjuk a 10-12 fős évfolyamonként beiskolázással;</w:t>
      </w:r>
    </w:p>
    <w:p w14:paraId="04091B00" w14:textId="22459C6B" w:rsidR="0066255D" w:rsidRDefault="005A291D" w:rsidP="00F77DE2">
      <w:pPr>
        <w:pStyle w:val="Listaszerbekezds"/>
        <w:numPr>
          <w:ilvl w:val="0"/>
          <w:numId w:val="20"/>
        </w:numPr>
      </w:pPr>
      <w:r>
        <w:t>legalább félévente egy külföldi, magas presztízsű professzort kívánunk bevonni az oktatásba;</w:t>
      </w:r>
    </w:p>
    <w:p w14:paraId="6A5CC375" w14:textId="76FF4A3E" w:rsidR="005A291D" w:rsidRDefault="00B83D4B" w:rsidP="00F77DE2">
      <w:pPr>
        <w:pStyle w:val="Listaszerbekezds"/>
        <w:numPr>
          <w:ilvl w:val="0"/>
          <w:numId w:val="20"/>
        </w:numPr>
      </w:pPr>
      <w:r>
        <w:t>a sikeresen fokozatot szerzett</w:t>
      </w:r>
      <w:r w:rsidR="00543797">
        <w:t>, hazájukba visszatért kollégákkal a későbbiekben és fenn kívánjuk tartani a kutatási együttműködést.</w:t>
      </w:r>
    </w:p>
    <w:p w14:paraId="5C8326A0" w14:textId="77777777" w:rsidR="00F6396B" w:rsidRDefault="00F6396B" w:rsidP="00D13543">
      <w:pPr>
        <w:ind w:left="709" w:hanging="709"/>
        <w:rPr>
          <w:i/>
          <w:iCs/>
        </w:rPr>
      </w:pPr>
    </w:p>
    <w:p w14:paraId="085B78E4" w14:textId="151EDFFA" w:rsidR="00D13543" w:rsidRPr="0062468A" w:rsidRDefault="00D13543" w:rsidP="00D13543">
      <w:pPr>
        <w:ind w:left="709" w:hanging="709"/>
      </w:pPr>
      <w:r w:rsidRPr="009B76C7">
        <w:rPr>
          <w:i/>
          <w:iCs/>
        </w:rPr>
        <w:t>Akció</w:t>
      </w:r>
      <w:r>
        <w:t>:</w:t>
      </w:r>
      <w:r>
        <w:tab/>
      </w:r>
      <w:r w:rsidR="00543797">
        <w:t xml:space="preserve">az angol program </w:t>
      </w:r>
      <w:r w:rsidR="0048299B">
        <w:t xml:space="preserve">vezetője javaslatot tesz a </w:t>
      </w:r>
      <w:r w:rsidR="00CF012D">
        <w:t>beiskolázási célországok körére és az oktatásba bevonni kívánt külföldi professzorokra</w:t>
      </w:r>
    </w:p>
    <w:p w14:paraId="779FC457" w14:textId="77777777" w:rsidR="00CF012D" w:rsidRDefault="00CF012D">
      <w:pPr>
        <w:spacing w:before="0"/>
        <w:jc w:val="left"/>
        <w:rPr>
          <w:bCs/>
          <w:i/>
          <w:szCs w:val="28"/>
        </w:rPr>
      </w:pPr>
      <w:r>
        <w:br w:type="page"/>
      </w:r>
    </w:p>
    <w:p w14:paraId="54F57B72" w14:textId="73A8BC6D" w:rsidR="00CF012D" w:rsidRPr="0062468A" w:rsidRDefault="00AF3CAF" w:rsidP="00E04069">
      <w:pPr>
        <w:pStyle w:val="Cmsor4"/>
      </w:pPr>
      <w:r>
        <w:lastRenderedPageBreak/>
        <w:t>Konferencia-aktivitás növelése</w:t>
      </w:r>
    </w:p>
    <w:p w14:paraId="688DA5D2" w14:textId="77777777" w:rsidR="00CF012D" w:rsidRDefault="00CF012D" w:rsidP="00CF012D">
      <w:pPr>
        <w:spacing w:before="40"/>
      </w:pPr>
    </w:p>
    <w:p w14:paraId="14B3A109" w14:textId="4AD6F508" w:rsidR="00CF012D" w:rsidRDefault="00AF3CAF" w:rsidP="00AF3CAF">
      <w:r>
        <w:t xml:space="preserve">A doktoranduszok </w:t>
      </w:r>
      <w:r w:rsidR="00DA1B9F">
        <w:t xml:space="preserve">új kutatási eredményeinek első külső megmérettetése a tudományos konferenciákon való előadás. A doktori iskola eddig is nagy hangsúlyt fektetett és lehetőségeihez mérten támogatta </w:t>
      </w:r>
      <w:r w:rsidR="00691C91">
        <w:t xml:space="preserve">ezeket a konferencia-előadásokat. Az új stratégia részeként a konferencia-előadásokat (természetesen megfelelő ekvivalencia-értékek mellett) számba vessük a publikációs teljesítményben, ösztönözzük a </w:t>
      </w:r>
      <w:r w:rsidR="003232DE">
        <w:t xml:space="preserve">doktoranduszokat, hogy ne csak előadást tartsanak, hanem kutatások jelenjen meg az absztrakt-kötetben, illetve – amennyiben van – a konferencia tanulmánykötetében is. </w:t>
      </w:r>
      <w:r w:rsidR="00640E7F">
        <w:t>A témavezetőket támogatjuk abban, hogy hallgatóikkal együtt, de a hallgatót „előtérbe tolva” vegyenek részt a nemzetközi tudományos konferenciákon.</w:t>
      </w:r>
    </w:p>
    <w:p w14:paraId="46B01EAE" w14:textId="0839038D" w:rsidR="00640E7F" w:rsidRDefault="00640E7F" w:rsidP="00AF3CAF">
      <w:r>
        <w:t xml:space="preserve">A </w:t>
      </w:r>
      <w:r w:rsidR="00A22643">
        <w:t xml:space="preserve">külföldön, illetve más hazai kutatóhelyen megrendezett konferenciák mellett kifejezetten ösztönözzük a hallgatókat, hogy vegyenek részt a PTE, illetve a KTK által szervezett konferenciákon (pl. </w:t>
      </w:r>
      <w:r w:rsidR="00B52538">
        <w:t>PTE I</w:t>
      </w:r>
      <w:r w:rsidR="00B52538" w:rsidRPr="00B52538">
        <w:t>nterdiszciplináris Doktorandusz Konferencia</w:t>
      </w:r>
      <w:r w:rsidR="00B52538">
        <w:t xml:space="preserve">, Pécsi Pénzügyi Napok, </w:t>
      </w:r>
      <w:r w:rsidR="00E82F15">
        <w:t>Farkas Ferenc Nemzetközi Konferencia)</w:t>
      </w:r>
      <w:r w:rsidR="00A11583">
        <w:t>.</w:t>
      </w:r>
    </w:p>
    <w:p w14:paraId="1521ACA1" w14:textId="77777777" w:rsidR="00F6396B" w:rsidRDefault="00F6396B" w:rsidP="00CF012D">
      <w:pPr>
        <w:ind w:left="709" w:hanging="709"/>
        <w:rPr>
          <w:i/>
          <w:iCs/>
        </w:rPr>
      </w:pPr>
    </w:p>
    <w:p w14:paraId="4A3598BB" w14:textId="1B9097F1" w:rsidR="00CF012D" w:rsidRPr="0062468A" w:rsidRDefault="00CF012D" w:rsidP="00CF012D">
      <w:pPr>
        <w:ind w:left="709" w:hanging="709"/>
      </w:pPr>
      <w:r w:rsidRPr="009B76C7">
        <w:rPr>
          <w:i/>
          <w:iCs/>
        </w:rPr>
        <w:t>Akció</w:t>
      </w:r>
      <w:r>
        <w:t>:</w:t>
      </w:r>
      <w:r>
        <w:tab/>
      </w:r>
      <w:r w:rsidR="00A11583">
        <w:t xml:space="preserve">a konferencia-részvétel és publikáció kerüljön be az elismert kutatási teljesítmények közé, </w:t>
      </w:r>
      <w:r w:rsidR="003A50E4">
        <w:t>történjen meg a szükséges szabályzat-módosítás (iskolavezető)</w:t>
      </w:r>
    </w:p>
    <w:p w14:paraId="5693242B" w14:textId="77777777" w:rsidR="00D13543" w:rsidRDefault="00D13543" w:rsidP="00D13543"/>
    <w:p w14:paraId="33B05A43" w14:textId="5049A289" w:rsidR="00A61837" w:rsidRDefault="00A61837">
      <w:pPr>
        <w:spacing w:before="0"/>
        <w:jc w:val="left"/>
        <w:rPr>
          <w:rFonts w:cs="Arial"/>
          <w:b/>
          <w:bCs/>
          <w:sz w:val="26"/>
          <w:szCs w:val="26"/>
        </w:rPr>
      </w:pPr>
    </w:p>
    <w:p w14:paraId="50A10E07" w14:textId="10C85ED1" w:rsidR="005055A7" w:rsidRDefault="00A61837" w:rsidP="005055A7">
      <w:pPr>
        <w:pStyle w:val="Cmsor3"/>
      </w:pPr>
      <w:r>
        <w:t>Ökoszisztéma építés</w:t>
      </w:r>
    </w:p>
    <w:p w14:paraId="4DA40213" w14:textId="0262AADD" w:rsidR="005055A7" w:rsidRPr="0062468A" w:rsidRDefault="00A61837" w:rsidP="00E04069">
      <w:pPr>
        <w:pStyle w:val="Cmsor4"/>
      </w:pPr>
      <w:r>
        <w:t>Alkalmazott kutatási témák hirdetése</w:t>
      </w:r>
    </w:p>
    <w:p w14:paraId="27F08372" w14:textId="77777777" w:rsidR="005055A7" w:rsidRDefault="005055A7" w:rsidP="005055A7">
      <w:pPr>
        <w:spacing w:before="40"/>
      </w:pPr>
    </w:p>
    <w:p w14:paraId="3DEFFED3" w14:textId="77777777" w:rsidR="00835901" w:rsidRDefault="005055A7" w:rsidP="005055A7">
      <w:r>
        <w:t xml:space="preserve">A </w:t>
      </w:r>
      <w:r w:rsidR="00030FBE">
        <w:t xml:space="preserve">gazdálkodás- és szervezéstudományok gazdag lehetőséget kínálnak alkalmazott kutatási témák meghirdetésére. Az üzleti jellegű problémák tudományos igényességgel való megközelítésére számos példát láthatunk, </w:t>
      </w:r>
      <w:r w:rsidR="00217DC0">
        <w:t xml:space="preserve">akár a termelés- és folyamatszabályozás módszertani újdonságai, akár a pénzügyi befektetések-eszközárazás </w:t>
      </w:r>
      <w:r w:rsidR="009921AF">
        <w:t xml:space="preserve">sztochasztikus modelljei, de akár a jó marketing, vagy menedzsment gyakorlat területén is. </w:t>
      </w:r>
      <w:r w:rsidR="005842DD">
        <w:t>A kutatási témák kijelölése nyilvánvalóan kényes terület, ugyanis sokszor nehéz megállapítani, hogy egyetlen vállalkozás aktuális problémá</w:t>
      </w:r>
      <w:r w:rsidR="00835901">
        <w:t>jának megoldása, vagy egy általános hasznosítható új eljárás kidolgozása lesz a végeredmény.</w:t>
      </w:r>
    </w:p>
    <w:p w14:paraId="167C70A0" w14:textId="07E64925" w:rsidR="005055A7" w:rsidRDefault="00835901" w:rsidP="00265E88">
      <w:r>
        <w:t xml:space="preserve">Az elmúlt néhány évben mind a PTE-n, mind a magyar felsőoktatás irányításában jelentősen megerősödött az alkalmazott kutatásokat preferáló, a valódi innovációt megcélzó kutatási pályázatok köre, </w:t>
      </w:r>
      <w:r w:rsidR="00265E88">
        <w:t>érdemes a doktori iskolában, a doktoranduszok kutatási témájának kijelölése során is kihasználni az újonnan nyílt lehetőségeket.</w:t>
      </w:r>
    </w:p>
    <w:p w14:paraId="6769F634" w14:textId="77777777" w:rsidR="00F6396B" w:rsidRDefault="00F6396B" w:rsidP="005055A7">
      <w:pPr>
        <w:ind w:left="709" w:hanging="709"/>
        <w:rPr>
          <w:i/>
          <w:iCs/>
        </w:rPr>
      </w:pPr>
    </w:p>
    <w:p w14:paraId="3EF9598E" w14:textId="0F4F11C9" w:rsidR="005055A7" w:rsidRPr="0062468A" w:rsidRDefault="005055A7" w:rsidP="005055A7">
      <w:pPr>
        <w:ind w:left="709" w:hanging="709"/>
      </w:pPr>
      <w:r w:rsidRPr="009B76C7">
        <w:rPr>
          <w:i/>
          <w:iCs/>
        </w:rPr>
        <w:t>Akció</w:t>
      </w:r>
      <w:r>
        <w:t>:</w:t>
      </w:r>
      <w:r>
        <w:tab/>
      </w:r>
      <w:r w:rsidR="005A1B5C">
        <w:t xml:space="preserve">felül kell vizsgálni és aktualizálni kell a doktori iskola által meghirdetett </w:t>
      </w:r>
      <w:r w:rsidR="00210BFE">
        <w:t xml:space="preserve">kutatási témák listáját, mindezt </w:t>
      </w:r>
      <w:r w:rsidR="002E4107">
        <w:t>szoros együttműködésben a PTE Pályázati és Innovációs Igazgatóságának munkatársaival</w:t>
      </w:r>
      <w:r w:rsidR="005A1B5C">
        <w:t xml:space="preserve"> és a potenciális témavezetőkkel </w:t>
      </w:r>
      <w:r w:rsidR="002E4107">
        <w:t xml:space="preserve"> </w:t>
      </w:r>
    </w:p>
    <w:p w14:paraId="7EED7599" w14:textId="39A1E8E5" w:rsidR="005055A7" w:rsidRDefault="005055A7" w:rsidP="005055A7">
      <w:pPr>
        <w:spacing w:before="0"/>
        <w:jc w:val="left"/>
        <w:rPr>
          <w:bCs/>
          <w:i/>
          <w:szCs w:val="28"/>
        </w:rPr>
      </w:pPr>
    </w:p>
    <w:p w14:paraId="76C566B0" w14:textId="4F9E78CF" w:rsidR="005055A7" w:rsidRPr="0062468A" w:rsidRDefault="00237BD2" w:rsidP="00E04069">
      <w:pPr>
        <w:pStyle w:val="Cmsor4"/>
      </w:pPr>
      <w:r>
        <w:lastRenderedPageBreak/>
        <w:t>Kutatói életpályák újragondolása</w:t>
      </w:r>
    </w:p>
    <w:p w14:paraId="0E0174BD" w14:textId="77777777" w:rsidR="005055A7" w:rsidRDefault="005055A7" w:rsidP="005055A7">
      <w:pPr>
        <w:spacing w:before="40"/>
      </w:pPr>
    </w:p>
    <w:p w14:paraId="2C57E164" w14:textId="554C2155" w:rsidR="005055A7" w:rsidRDefault="005055A7" w:rsidP="00832F9A">
      <w:r>
        <w:t>A doktor</w:t>
      </w:r>
      <w:r w:rsidR="00ED2308">
        <w:t>i képzésben történő részvétel nemcs</w:t>
      </w:r>
      <w:r w:rsidR="00D62AC5">
        <w:t>ak</w:t>
      </w:r>
      <w:r>
        <w:t xml:space="preserve"> </w:t>
      </w:r>
      <w:r w:rsidR="00D62AC5">
        <w:t xml:space="preserve">szellemi kihívás, illetve önmegvalósítás, de jelentős anyagi áldozatvállalással is jár. </w:t>
      </w:r>
      <w:r w:rsidR="000775BF">
        <w:t xml:space="preserve">(Különösen így van ez az olyan doktori iskolák esetén, mint a Gazdálkodástani, ahol a tényleges költségek mellett még jelentős </w:t>
      </w:r>
      <w:proofErr w:type="spellStart"/>
      <w:r w:rsidR="000775BF">
        <w:t>opportunity</w:t>
      </w:r>
      <w:proofErr w:type="spellEnd"/>
      <w:r w:rsidR="000775BF">
        <w:t xml:space="preserve"> cost-</w:t>
      </w:r>
      <w:proofErr w:type="spellStart"/>
      <w:r w:rsidR="000775BF">
        <w:t>tal</w:t>
      </w:r>
      <w:proofErr w:type="spellEnd"/>
      <w:r w:rsidR="000775BF">
        <w:t xml:space="preserve"> is kell számolni!)</w:t>
      </w:r>
      <w:r w:rsidR="00853D6B">
        <w:t xml:space="preserve"> Sajnálatos tény, hogy a doktori ösztöndíjak (még a 2017-es emelést követően is) csak akkor tudják biztosítani a doktorandusz fiatal értelmiségihez méltó megélhetését, ha kiegészülnek egyéb forrásokkal, illetve </w:t>
      </w:r>
      <w:r w:rsidR="00530107">
        <w:t xml:space="preserve">a sikeres védést követően, </w:t>
      </w:r>
      <w:r w:rsidR="00853D6B">
        <w:t>beláthat</w:t>
      </w:r>
      <w:r w:rsidR="00530107">
        <w:t>ó időn belül egyetemi oktatói, kutatóintézeti, vagy más kiemelt állás</w:t>
      </w:r>
      <w:r w:rsidR="00B0463E">
        <w:t xml:space="preserve">lehetőséggel kecsegtet. Nyilvánvaló, hogy </w:t>
      </w:r>
      <w:proofErr w:type="spellStart"/>
      <w:r w:rsidR="00B0463E">
        <w:t>minderre</w:t>
      </w:r>
      <w:proofErr w:type="spellEnd"/>
      <w:r w:rsidR="00B0463E">
        <w:t xml:space="preserve"> a doktori iskolának csak viszonylag kis ráhatása van, de </w:t>
      </w:r>
      <w:r w:rsidR="002F7AF8">
        <w:t>minden lehetséges eszközzel törekedni kell arra, hogy a doktoranduszok ne kényszerüljenek méltatlan anyagi helyzetbe.</w:t>
      </w:r>
    </w:p>
    <w:p w14:paraId="2C0678A5" w14:textId="77777777" w:rsidR="00F6396B" w:rsidRDefault="00F6396B" w:rsidP="005055A7">
      <w:pPr>
        <w:ind w:left="709" w:hanging="709"/>
        <w:rPr>
          <w:i/>
          <w:iCs/>
        </w:rPr>
      </w:pPr>
    </w:p>
    <w:p w14:paraId="426E7E0A" w14:textId="690CD2F9" w:rsidR="005055A7" w:rsidRPr="0062468A" w:rsidRDefault="005055A7" w:rsidP="005055A7">
      <w:pPr>
        <w:ind w:left="709" w:hanging="709"/>
      </w:pPr>
      <w:r w:rsidRPr="009B76C7">
        <w:rPr>
          <w:i/>
          <w:iCs/>
        </w:rPr>
        <w:t>Akció</w:t>
      </w:r>
      <w:r>
        <w:t>:</w:t>
      </w:r>
      <w:r>
        <w:tab/>
      </w:r>
      <w:r w:rsidR="002F7AF8">
        <w:t>kari, illetve egyetemi ösztöndíjprogramok kezdeményezése, a doktoranduszok „kiajánlása” a karon, illetve egyetemen futó, témájukhoz illeszkedő k</w:t>
      </w:r>
      <w:r w:rsidR="0067182E">
        <w:t>utatási projektekbe</w:t>
      </w:r>
    </w:p>
    <w:p w14:paraId="23E60EC4" w14:textId="6EECDB15" w:rsidR="007862BE" w:rsidRDefault="007862BE">
      <w:pPr>
        <w:spacing w:before="0"/>
        <w:jc w:val="left"/>
      </w:pPr>
    </w:p>
    <w:p w14:paraId="4FF1FB41" w14:textId="77777777" w:rsidR="00EF7136" w:rsidRPr="0062468A" w:rsidRDefault="00EF7136" w:rsidP="00EF7136">
      <w:pPr>
        <w:pStyle w:val="Cmsor4"/>
      </w:pPr>
      <w:r>
        <w:lastRenderedPageBreak/>
        <w:t>Kari lapok preferálása</w:t>
      </w:r>
    </w:p>
    <w:p w14:paraId="1140C8DA" w14:textId="77777777" w:rsidR="00EF7136" w:rsidRDefault="00EF7136" w:rsidP="00EF7136">
      <w:pPr>
        <w:spacing w:before="40"/>
      </w:pPr>
    </w:p>
    <w:p w14:paraId="7D661DAC" w14:textId="77777777" w:rsidR="00EF7136" w:rsidRDefault="00EF7136" w:rsidP="00EF7136">
      <w:r>
        <w:t xml:space="preserve">A PTE Közgazdaságtudományi Karán folyó tudományos kutatómunka egyik legkézenfekvőbb bizonyítéka a karon szerkesztett tudományos folyóiratok (SZGMA – MTA A. kategória, </w:t>
      </w:r>
      <w:proofErr w:type="spellStart"/>
      <w:r>
        <w:t>Marketing&amp;Mendzsment</w:t>
      </w:r>
      <w:proofErr w:type="spellEnd"/>
      <w:r>
        <w:t xml:space="preserve"> – MTA C. kategória) megjelenése. Mindkét lap rendkívül magas tudományos minőséget képvisel, a beküldött tanulmányok elbírálása a </w:t>
      </w:r>
      <w:proofErr w:type="spellStart"/>
      <w:r>
        <w:t>nemezetközi</w:t>
      </w:r>
      <w:proofErr w:type="spellEnd"/>
      <w:r>
        <w:t xml:space="preserve"> standardoknak megfelelő. Célszerű, hogy a doktoranduszok (elősként inkább a témavezetőjükkel, vagy tapasztaltabb kollégákkal) megpróbálják kutatási eredményeiket ezekben a lapokban publikálni és ezáltal a folyóiratokkal való kommunikáció mibenlétét is elsajátítani. </w:t>
      </w:r>
    </w:p>
    <w:p w14:paraId="518D3E74" w14:textId="77777777" w:rsidR="00EF7136" w:rsidRDefault="00EF7136" w:rsidP="00EF7136">
      <w:r>
        <w:t>Az említett lapok szerkesztőbizottságaival egyeztetve elképzelhető doktorandusz különszámok megjelentetése, vagy egyes tematikus különszámokhoz a doktori iskola hallgatóinak felkérése is.</w:t>
      </w:r>
    </w:p>
    <w:p w14:paraId="32A1C26E" w14:textId="77777777" w:rsidR="00EF7136" w:rsidRDefault="00EF7136" w:rsidP="00EF7136">
      <w:pPr>
        <w:ind w:left="709" w:hanging="709"/>
        <w:rPr>
          <w:i/>
          <w:iCs/>
        </w:rPr>
      </w:pPr>
    </w:p>
    <w:p w14:paraId="02ACCB15" w14:textId="77777777" w:rsidR="00EF7136" w:rsidRPr="0062468A" w:rsidRDefault="00EF7136" w:rsidP="00EF7136">
      <w:pPr>
        <w:ind w:left="709" w:hanging="709"/>
      </w:pPr>
      <w:r w:rsidRPr="009B76C7">
        <w:rPr>
          <w:i/>
          <w:iCs/>
        </w:rPr>
        <w:t>Akció</w:t>
      </w:r>
      <w:r>
        <w:t>:</w:t>
      </w:r>
      <w:r>
        <w:tab/>
        <w:t>doktori iskolavezető törekedjen jól dokumentált és megfelelő mennyiségű outputot eredményező megállapodás kötésére a lapok főszerkesztőjével (szerkesztőbizottságával)</w:t>
      </w:r>
    </w:p>
    <w:p w14:paraId="6D51EB79" w14:textId="77777777" w:rsidR="005055A7" w:rsidRDefault="005055A7" w:rsidP="005055A7"/>
    <w:p w14:paraId="44D61A48" w14:textId="77777777" w:rsidR="00EF7136" w:rsidRDefault="00EF7136" w:rsidP="005055A7"/>
    <w:p w14:paraId="76987CB4" w14:textId="77777777" w:rsidR="00EF7136" w:rsidRDefault="00EF7136" w:rsidP="005055A7"/>
    <w:p w14:paraId="1D79E33E" w14:textId="77777777" w:rsidR="00EF7136" w:rsidRDefault="00EF7136" w:rsidP="005055A7"/>
    <w:p w14:paraId="1E50F777" w14:textId="00B9EF62" w:rsidR="007862BE" w:rsidRDefault="007862BE" w:rsidP="007862BE">
      <w:pPr>
        <w:pStyle w:val="Cmsor3"/>
      </w:pPr>
      <w:r w:rsidRPr="007862BE">
        <w:t>Rugalmas alkalmazkodás</w:t>
      </w:r>
    </w:p>
    <w:p w14:paraId="233252FF" w14:textId="4550BF96" w:rsidR="007862BE" w:rsidRPr="0062468A" w:rsidRDefault="007862BE" w:rsidP="007862BE">
      <w:pPr>
        <w:pStyle w:val="Cmsor4"/>
      </w:pPr>
      <w:r w:rsidRPr="007862BE">
        <w:t>Szabályozottság fokozása</w:t>
      </w:r>
    </w:p>
    <w:p w14:paraId="5CA6C50B" w14:textId="77777777" w:rsidR="007862BE" w:rsidRDefault="007862BE" w:rsidP="007862BE">
      <w:pPr>
        <w:spacing w:before="40"/>
      </w:pPr>
    </w:p>
    <w:p w14:paraId="747DDBEE" w14:textId="2CBA2F6F" w:rsidR="007862BE" w:rsidRDefault="007E6B25" w:rsidP="007862BE">
      <w:r>
        <w:t xml:space="preserve">A doktori képzés </w:t>
      </w:r>
      <w:r w:rsidR="00152630">
        <w:t xml:space="preserve">szabályrendszerének </w:t>
      </w:r>
      <w:r>
        <w:t>2016</w:t>
      </w:r>
      <w:r w:rsidR="00152630">
        <w:t xml:space="preserve">-os drasztikus változása </w:t>
      </w:r>
      <w:r w:rsidR="00B23518">
        <w:t xml:space="preserve">számos tekintetben indokolttá teszi, hogy a doktori iskola a működési szabályzatát, a minőségbiztosításhoz szükséges </w:t>
      </w:r>
      <w:r w:rsidR="00164FD1">
        <w:t>kimutatásokat, adatgyűjtéseket, hallgatói véleményezéseket</w:t>
      </w:r>
      <w:r w:rsidR="002B2830">
        <w:t xml:space="preserve"> </w:t>
      </w:r>
      <w:r w:rsidR="0078202C">
        <w:t>újra gondoljuk és egységes szabályozási környezetbe helyezzük. Kézenfekvő elvárás, hogy az új szabályzatok, illetve magának a doktori képzésnek és fokozatszerzésnek a folyamatszabályozása az ESG-standardok alapján történjen</w:t>
      </w:r>
      <w:r w:rsidR="004F0C4E">
        <w:t>.</w:t>
      </w:r>
    </w:p>
    <w:p w14:paraId="44BE662D" w14:textId="77777777" w:rsidR="00F6396B" w:rsidRDefault="00F6396B" w:rsidP="007862BE">
      <w:pPr>
        <w:ind w:left="709" w:hanging="709"/>
        <w:rPr>
          <w:i/>
          <w:iCs/>
        </w:rPr>
      </w:pPr>
    </w:p>
    <w:p w14:paraId="1B6B35FF" w14:textId="31527E27" w:rsidR="007862BE" w:rsidRPr="0062468A" w:rsidRDefault="007862BE" w:rsidP="007862BE">
      <w:pPr>
        <w:ind w:left="709" w:hanging="709"/>
      </w:pPr>
      <w:r w:rsidRPr="009B76C7">
        <w:rPr>
          <w:i/>
          <w:iCs/>
        </w:rPr>
        <w:t>Akció</w:t>
      </w:r>
      <w:r>
        <w:t>:</w:t>
      </w:r>
      <w:r>
        <w:tab/>
      </w:r>
      <w:r w:rsidR="004F0C4E">
        <w:t>a doktori iskola vezetője készítse el a doktori iskola működési szabályzatát és azt,</w:t>
      </w:r>
      <w:r w:rsidR="00026864">
        <w:t xml:space="preserve"> természetesen a szükséges egyeztetéseket és ellenőrzéseket követően terjessze az EDT elé</w:t>
      </w:r>
      <w:r>
        <w:t xml:space="preserve"> </w:t>
      </w:r>
    </w:p>
    <w:p w14:paraId="7B0326EA" w14:textId="77777777" w:rsidR="007862BE" w:rsidRDefault="007862BE" w:rsidP="007862BE">
      <w:pPr>
        <w:spacing w:before="0"/>
        <w:jc w:val="left"/>
        <w:rPr>
          <w:bCs/>
          <w:i/>
          <w:szCs w:val="28"/>
        </w:rPr>
      </w:pPr>
    </w:p>
    <w:p w14:paraId="1406153E" w14:textId="77777777" w:rsidR="00026864" w:rsidRDefault="00026864" w:rsidP="007862BE">
      <w:pPr>
        <w:pStyle w:val="Cmsor4"/>
      </w:pPr>
    </w:p>
    <w:p w14:paraId="42F8D073" w14:textId="5C7F2046" w:rsidR="007862BE" w:rsidRPr="0062468A" w:rsidRDefault="007862BE" w:rsidP="007862BE">
      <w:pPr>
        <w:pStyle w:val="Cmsor4"/>
      </w:pPr>
      <w:r w:rsidRPr="007862BE">
        <w:t>Digitális technikák beépítése</w:t>
      </w:r>
    </w:p>
    <w:p w14:paraId="5E61A5EA" w14:textId="77777777" w:rsidR="007862BE" w:rsidRDefault="007862BE" w:rsidP="007862BE">
      <w:pPr>
        <w:spacing w:before="40"/>
      </w:pPr>
    </w:p>
    <w:p w14:paraId="22E3A13A" w14:textId="42E5A11D" w:rsidR="00F6396B" w:rsidRDefault="00AA47AF" w:rsidP="007862BE">
      <w:r w:rsidRPr="00B64FBB">
        <w:t>A következő évtized egyik, de lehet, hogy legnagyobb kihívása a</w:t>
      </w:r>
      <w:r w:rsidR="00AB593C">
        <w:t xml:space="preserve"> digitalizáció, illetve ennek velejárói (ipar 4.0, </w:t>
      </w:r>
      <w:r w:rsidR="00973E04">
        <w:t>platform-gazdaság, mesterséges intelligencia, stb.). Mindennek a hatását ma valószínűleg még felmérni sem tudjuk</w:t>
      </w:r>
      <w:r w:rsidR="000A20C3">
        <w:t>, ennek ellenére a doktori iskolának is folyamatosan meg kell újulnia, ha lépést kíván tartani a kor kihívásaival.</w:t>
      </w:r>
    </w:p>
    <w:p w14:paraId="2A311016" w14:textId="4EEC761E" w:rsidR="000A20C3" w:rsidRDefault="000A20C3" w:rsidP="007862BE">
      <w:r>
        <w:t>Ma a követ</w:t>
      </w:r>
      <w:r w:rsidR="001979C6">
        <w:t>kező lépések látszanak szükségesnek:</w:t>
      </w:r>
    </w:p>
    <w:p w14:paraId="192CF83F" w14:textId="61B9C3E8" w:rsidR="001979C6" w:rsidRDefault="001979C6" w:rsidP="001979C6">
      <w:pPr>
        <w:pStyle w:val="Listaszerbekezds"/>
        <w:numPr>
          <w:ilvl w:val="0"/>
          <w:numId w:val="21"/>
        </w:numPr>
      </w:pPr>
      <w:r>
        <w:t>oktatásmódszertani fejlesztések a virtuális tér minél jobb kihasználása érdekében,</w:t>
      </w:r>
    </w:p>
    <w:p w14:paraId="69C29682" w14:textId="22B257CA" w:rsidR="001979C6" w:rsidRDefault="001979C6" w:rsidP="001979C6">
      <w:pPr>
        <w:pStyle w:val="Listaszerbekezds"/>
        <w:numPr>
          <w:ilvl w:val="0"/>
          <w:numId w:val="21"/>
        </w:numPr>
      </w:pPr>
      <w:r>
        <w:t xml:space="preserve">digitalizációval, </w:t>
      </w:r>
      <w:r w:rsidR="00DD4DCD">
        <w:t xml:space="preserve">ipar 4.0-val, </w:t>
      </w:r>
      <w:proofErr w:type="spellStart"/>
      <w:r w:rsidR="00DD4DCD">
        <w:t>fintech-hel</w:t>
      </w:r>
      <w:proofErr w:type="spellEnd"/>
      <w:r w:rsidR="00DD4DCD">
        <w:t xml:space="preserve"> kapcsolatos kutatási témák meghirdetése,</w:t>
      </w:r>
    </w:p>
    <w:p w14:paraId="2C5F6AA5" w14:textId="22C9A604" w:rsidR="00DD4DCD" w:rsidRDefault="00DD4DCD" w:rsidP="001979C6">
      <w:pPr>
        <w:pStyle w:val="Listaszerbekezds"/>
        <w:numPr>
          <w:ilvl w:val="0"/>
          <w:numId w:val="21"/>
        </w:numPr>
      </w:pPr>
      <w:r>
        <w:t>szor</w:t>
      </w:r>
      <w:r w:rsidR="00AA6E70">
        <w:t xml:space="preserve">os kapcsolat kiépítése a digitalizációban élenjáró hazai vállalkozásokkal, illetve az AI-kutatásban </w:t>
      </w:r>
      <w:r w:rsidR="00657F74">
        <w:t>nemzetközi szinten eredményeket felmutatni képes partnerintézményekkel.</w:t>
      </w:r>
    </w:p>
    <w:p w14:paraId="6326EF8D" w14:textId="11ACE825" w:rsidR="007862BE" w:rsidRDefault="007862BE" w:rsidP="007862BE"/>
    <w:p w14:paraId="67C0E37D" w14:textId="6D98D8CC" w:rsidR="007862BE" w:rsidRPr="0062468A" w:rsidRDefault="007862BE" w:rsidP="007862BE">
      <w:pPr>
        <w:ind w:left="709" w:hanging="709"/>
      </w:pPr>
      <w:r w:rsidRPr="009B76C7">
        <w:rPr>
          <w:i/>
          <w:iCs/>
        </w:rPr>
        <w:t>Akció</w:t>
      </w:r>
      <w:r>
        <w:t>:</w:t>
      </w:r>
      <w:r>
        <w:tab/>
      </w:r>
      <w:r w:rsidR="001F7E26">
        <w:t xml:space="preserve">készüljenek ajánlások, illetve szükség esetén </w:t>
      </w:r>
      <w:r w:rsidR="00AA47AF">
        <w:t xml:space="preserve">oktató-programok, melyek segítségével a doktori iskola oktatói és hallgatói sikeresen tudnak részt venni a digitális átállásban (távoktatás, </w:t>
      </w:r>
      <w:proofErr w:type="spellStart"/>
      <w:r w:rsidR="00AA47AF">
        <w:t>blended</w:t>
      </w:r>
      <w:proofErr w:type="spellEnd"/>
      <w:r w:rsidR="00AA47AF">
        <w:t xml:space="preserve"> </w:t>
      </w:r>
      <w:proofErr w:type="spellStart"/>
      <w:r w:rsidR="00AA47AF">
        <w:t>learning</w:t>
      </w:r>
      <w:proofErr w:type="spellEnd"/>
      <w:r w:rsidR="00AA47AF">
        <w:t>, e-tananyagok, e-</w:t>
      </w:r>
      <w:proofErr w:type="spellStart"/>
      <w:r w:rsidR="00AA47AF">
        <w:t>tutorálás</w:t>
      </w:r>
      <w:proofErr w:type="spellEnd"/>
      <w:r w:rsidR="00AA47AF">
        <w:t xml:space="preserve">, stb.) </w:t>
      </w:r>
    </w:p>
    <w:p w14:paraId="6DE4287F" w14:textId="77777777" w:rsidR="007862BE" w:rsidRDefault="007862BE" w:rsidP="007862BE"/>
    <w:p w14:paraId="1BEEC67E" w14:textId="77777777" w:rsidR="00A11583" w:rsidRDefault="00A11583" w:rsidP="00A11583"/>
    <w:sectPr w:rsidR="00A11583" w:rsidSect="00B727EC">
      <w:footerReference w:type="even" r:id="rId7"/>
      <w:footerReference w:type="default" r:id="rId8"/>
      <w:pgSz w:w="11906" w:h="16838"/>
      <w:pgMar w:top="1417" w:right="2006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934BF" w14:textId="77777777" w:rsidR="009B2B5B" w:rsidRDefault="009B2B5B">
      <w:pPr>
        <w:spacing w:before="0"/>
      </w:pPr>
      <w:r>
        <w:separator/>
      </w:r>
    </w:p>
  </w:endnote>
  <w:endnote w:type="continuationSeparator" w:id="0">
    <w:p w14:paraId="3F8E34ED" w14:textId="77777777" w:rsidR="009B2B5B" w:rsidRDefault="009B2B5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D4EC2" w14:textId="77777777" w:rsidR="00E707BA" w:rsidRDefault="00E707B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9333D85" w14:textId="77777777" w:rsidR="00E707BA" w:rsidRDefault="00E707B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9813784"/>
      <w:docPartObj>
        <w:docPartGallery w:val="Page Numbers (Bottom of Page)"/>
        <w:docPartUnique/>
      </w:docPartObj>
    </w:sdtPr>
    <w:sdtEndPr/>
    <w:sdtContent>
      <w:p w14:paraId="38DDEE15" w14:textId="2B1107B8" w:rsidR="00D31993" w:rsidRDefault="00D3199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BC8DE8" w14:textId="77777777" w:rsidR="00243EBD" w:rsidRDefault="00243EB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3AF81" w14:textId="77777777" w:rsidR="009B2B5B" w:rsidRDefault="009B2B5B">
      <w:pPr>
        <w:spacing w:before="0"/>
      </w:pPr>
      <w:r>
        <w:separator/>
      </w:r>
    </w:p>
  </w:footnote>
  <w:footnote w:type="continuationSeparator" w:id="0">
    <w:p w14:paraId="22955733" w14:textId="77777777" w:rsidR="009B2B5B" w:rsidRDefault="009B2B5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3307"/>
    <w:multiLevelType w:val="hybridMultilevel"/>
    <w:tmpl w:val="91CE1E4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50F3"/>
    <w:multiLevelType w:val="multilevel"/>
    <w:tmpl w:val="D60C47C6"/>
    <w:lvl w:ilvl="0">
      <w:start w:val="1"/>
      <w:numFmt w:val="none"/>
      <w:pStyle w:val="Cmsor1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%2"/>
      <w:lvlJc w:val="left"/>
      <w:pPr>
        <w:tabs>
          <w:tab w:val="num" w:pos="576"/>
        </w:tabs>
        <w:ind w:left="284" w:hanging="284"/>
      </w:pPr>
      <w:rPr>
        <w:rFonts w:hint="default"/>
      </w:rPr>
    </w:lvl>
    <w:lvl w:ilvl="2">
      <w:start w:val="1"/>
      <w:numFmt w:val="decimal"/>
      <w:pStyle w:val="Cmsor3"/>
      <w:lvlText w:val="%1%2.%3"/>
      <w:lvlJc w:val="left"/>
      <w:pPr>
        <w:tabs>
          <w:tab w:val="num" w:pos="720"/>
        </w:tabs>
        <w:ind w:left="425" w:hanging="425"/>
      </w:pPr>
      <w:rPr>
        <w:rFonts w:hint="default"/>
      </w:rPr>
    </w:lvl>
    <w:lvl w:ilvl="3">
      <w:start w:val="1"/>
      <w:numFmt w:val="lowerLetter"/>
      <w:lvlText w:val="%1%2.%3.%4"/>
      <w:lvlJc w:val="left"/>
      <w:pPr>
        <w:tabs>
          <w:tab w:val="num" w:pos="1290"/>
        </w:tabs>
        <w:ind w:left="993" w:hanging="567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29602B1"/>
    <w:multiLevelType w:val="hybridMultilevel"/>
    <w:tmpl w:val="EBC6BB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85614"/>
    <w:multiLevelType w:val="hybridMultilevel"/>
    <w:tmpl w:val="F3F0FAFE"/>
    <w:lvl w:ilvl="0" w:tplc="1DB613F2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D30FB"/>
    <w:multiLevelType w:val="hybridMultilevel"/>
    <w:tmpl w:val="81C28A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5310F1"/>
    <w:multiLevelType w:val="multilevel"/>
    <w:tmpl w:val="B8D8D508"/>
    <w:numStyleLink w:val="Stlus1"/>
  </w:abstractNum>
  <w:abstractNum w:abstractNumId="6" w15:restartNumberingAfterBreak="0">
    <w:nsid w:val="2D135CE7"/>
    <w:multiLevelType w:val="hybridMultilevel"/>
    <w:tmpl w:val="C4B605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90623"/>
    <w:multiLevelType w:val="multilevel"/>
    <w:tmpl w:val="B8D8D508"/>
    <w:styleLink w:val="Stlus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576"/>
        </w:tabs>
        <w:ind w:left="284" w:hanging="284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425" w:hanging="425"/>
      </w:pPr>
      <w:rPr>
        <w:rFonts w:hint="default"/>
      </w:rPr>
    </w:lvl>
    <w:lvl w:ilvl="3">
      <w:start w:val="1"/>
      <w:numFmt w:val="lowerLetter"/>
      <w:lvlText w:val="%1%2.%3.%4"/>
      <w:lvlJc w:val="left"/>
      <w:pPr>
        <w:tabs>
          <w:tab w:val="num" w:pos="1290"/>
        </w:tabs>
        <w:ind w:left="993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DF5018"/>
    <w:multiLevelType w:val="hybridMultilevel"/>
    <w:tmpl w:val="F77C19DA"/>
    <w:lvl w:ilvl="0" w:tplc="FC22511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C5551"/>
    <w:multiLevelType w:val="hybridMultilevel"/>
    <w:tmpl w:val="8E06F36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006A4"/>
    <w:multiLevelType w:val="hybridMultilevel"/>
    <w:tmpl w:val="D6AE909A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71E051A"/>
    <w:multiLevelType w:val="hybridMultilevel"/>
    <w:tmpl w:val="EE886FAA"/>
    <w:lvl w:ilvl="0" w:tplc="FC22511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C22511A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54625"/>
    <w:multiLevelType w:val="hybridMultilevel"/>
    <w:tmpl w:val="5F44172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8F71C4"/>
    <w:multiLevelType w:val="hybridMultilevel"/>
    <w:tmpl w:val="8FA639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67904"/>
    <w:multiLevelType w:val="hybridMultilevel"/>
    <w:tmpl w:val="DE309466"/>
    <w:lvl w:ilvl="0" w:tplc="019C30FA">
      <w:start w:val="1"/>
      <w:numFmt w:val="bullet"/>
      <w:lvlText w:val="-"/>
      <w:lvlJc w:val="left"/>
      <w:pPr>
        <w:tabs>
          <w:tab w:val="num" w:pos="907"/>
        </w:tabs>
        <w:ind w:left="907" w:hanging="34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16E53"/>
    <w:multiLevelType w:val="hybridMultilevel"/>
    <w:tmpl w:val="8C9E23BE"/>
    <w:lvl w:ilvl="0" w:tplc="FFFFFFFF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407FFB"/>
    <w:multiLevelType w:val="hybridMultilevel"/>
    <w:tmpl w:val="675CAF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8B4E85"/>
    <w:multiLevelType w:val="hybridMultilevel"/>
    <w:tmpl w:val="0D4C6FA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8658D"/>
    <w:multiLevelType w:val="hybridMultilevel"/>
    <w:tmpl w:val="3E30320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37B75"/>
    <w:multiLevelType w:val="hybridMultilevel"/>
    <w:tmpl w:val="F738CAC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C4954"/>
    <w:multiLevelType w:val="hybridMultilevel"/>
    <w:tmpl w:val="DF8CB77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7686002">
    <w:abstractNumId w:val="1"/>
  </w:num>
  <w:num w:numId="2" w16cid:durableId="1185024453">
    <w:abstractNumId w:val="4"/>
  </w:num>
  <w:num w:numId="3" w16cid:durableId="2121607920">
    <w:abstractNumId w:val="15"/>
  </w:num>
  <w:num w:numId="4" w16cid:durableId="248318694">
    <w:abstractNumId w:val="2"/>
  </w:num>
  <w:num w:numId="5" w16cid:durableId="959914296">
    <w:abstractNumId w:val="13"/>
  </w:num>
  <w:num w:numId="6" w16cid:durableId="976569036">
    <w:abstractNumId w:val="6"/>
  </w:num>
  <w:num w:numId="7" w16cid:durableId="1093355519">
    <w:abstractNumId w:val="0"/>
  </w:num>
  <w:num w:numId="8" w16cid:durableId="337538577">
    <w:abstractNumId w:val="14"/>
  </w:num>
  <w:num w:numId="9" w16cid:durableId="1826357732">
    <w:abstractNumId w:val="12"/>
  </w:num>
  <w:num w:numId="10" w16cid:durableId="1156993415">
    <w:abstractNumId w:val="16"/>
  </w:num>
  <w:num w:numId="11" w16cid:durableId="2061399203">
    <w:abstractNumId w:val="18"/>
  </w:num>
  <w:num w:numId="12" w16cid:durableId="1856114776">
    <w:abstractNumId w:val="10"/>
  </w:num>
  <w:num w:numId="13" w16cid:durableId="719323482">
    <w:abstractNumId w:val="17"/>
  </w:num>
  <w:num w:numId="14" w16cid:durableId="420151922">
    <w:abstractNumId w:val="9"/>
  </w:num>
  <w:num w:numId="15" w16cid:durableId="2054383653">
    <w:abstractNumId w:val="20"/>
  </w:num>
  <w:num w:numId="16" w16cid:durableId="867065910">
    <w:abstractNumId w:val="19"/>
  </w:num>
  <w:num w:numId="17" w16cid:durableId="482964498">
    <w:abstractNumId w:val="7"/>
  </w:num>
  <w:num w:numId="18" w16cid:durableId="1334380554">
    <w:abstractNumId w:val="5"/>
  </w:num>
  <w:num w:numId="19" w16cid:durableId="1839029402">
    <w:abstractNumId w:val="11"/>
  </w:num>
  <w:num w:numId="20" w16cid:durableId="1084649473">
    <w:abstractNumId w:val="8"/>
  </w:num>
  <w:num w:numId="21" w16cid:durableId="71993732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813"/>
    <w:rsid w:val="000020BD"/>
    <w:rsid w:val="00017E95"/>
    <w:rsid w:val="00022838"/>
    <w:rsid w:val="00026864"/>
    <w:rsid w:val="00030FBE"/>
    <w:rsid w:val="00033BB4"/>
    <w:rsid w:val="000435ED"/>
    <w:rsid w:val="00044813"/>
    <w:rsid w:val="00050955"/>
    <w:rsid w:val="00050A45"/>
    <w:rsid w:val="00075364"/>
    <w:rsid w:val="000775BF"/>
    <w:rsid w:val="000817DF"/>
    <w:rsid w:val="00087713"/>
    <w:rsid w:val="000A20C3"/>
    <w:rsid w:val="000A57E0"/>
    <w:rsid w:val="000A7518"/>
    <w:rsid w:val="000B1C3C"/>
    <w:rsid w:val="000B3A96"/>
    <w:rsid w:val="000C466D"/>
    <w:rsid w:val="000D3844"/>
    <w:rsid w:val="000E022F"/>
    <w:rsid w:val="000F6B2B"/>
    <w:rsid w:val="00102061"/>
    <w:rsid w:val="001025AB"/>
    <w:rsid w:val="001068C0"/>
    <w:rsid w:val="00106F8A"/>
    <w:rsid w:val="00112EF4"/>
    <w:rsid w:val="00131C29"/>
    <w:rsid w:val="00143F6F"/>
    <w:rsid w:val="00146517"/>
    <w:rsid w:val="00147E66"/>
    <w:rsid w:val="001512B1"/>
    <w:rsid w:val="00151429"/>
    <w:rsid w:val="00152630"/>
    <w:rsid w:val="001537EC"/>
    <w:rsid w:val="00153E2A"/>
    <w:rsid w:val="00164FD1"/>
    <w:rsid w:val="00172BB6"/>
    <w:rsid w:val="00176700"/>
    <w:rsid w:val="0018668A"/>
    <w:rsid w:val="001979C6"/>
    <w:rsid w:val="001A530C"/>
    <w:rsid w:val="001A7FEC"/>
    <w:rsid w:val="001B0677"/>
    <w:rsid w:val="001B09C8"/>
    <w:rsid w:val="001B1715"/>
    <w:rsid w:val="001C1C73"/>
    <w:rsid w:val="001D09F0"/>
    <w:rsid w:val="001D2674"/>
    <w:rsid w:val="001E198F"/>
    <w:rsid w:val="001E650E"/>
    <w:rsid w:val="001E73BE"/>
    <w:rsid w:val="001F22FD"/>
    <w:rsid w:val="001F7E26"/>
    <w:rsid w:val="002054C6"/>
    <w:rsid w:val="00210BFE"/>
    <w:rsid w:val="00211F89"/>
    <w:rsid w:val="00217DC0"/>
    <w:rsid w:val="00221ACA"/>
    <w:rsid w:val="002234A9"/>
    <w:rsid w:val="00237BD2"/>
    <w:rsid w:val="00243D9A"/>
    <w:rsid w:val="00243EBD"/>
    <w:rsid w:val="002454AF"/>
    <w:rsid w:val="00262C00"/>
    <w:rsid w:val="00265DF0"/>
    <w:rsid w:val="00265E88"/>
    <w:rsid w:val="00267F6C"/>
    <w:rsid w:val="00273CD4"/>
    <w:rsid w:val="002A3BE9"/>
    <w:rsid w:val="002A3E37"/>
    <w:rsid w:val="002B2830"/>
    <w:rsid w:val="002C1AD3"/>
    <w:rsid w:val="002D3692"/>
    <w:rsid w:val="002D7861"/>
    <w:rsid w:val="002E4107"/>
    <w:rsid w:val="002E7C4C"/>
    <w:rsid w:val="002F193D"/>
    <w:rsid w:val="002F7AF8"/>
    <w:rsid w:val="00312512"/>
    <w:rsid w:val="0032326B"/>
    <w:rsid w:val="003232DE"/>
    <w:rsid w:val="003277B7"/>
    <w:rsid w:val="003278DB"/>
    <w:rsid w:val="00347083"/>
    <w:rsid w:val="00361331"/>
    <w:rsid w:val="00367AA6"/>
    <w:rsid w:val="00380FBD"/>
    <w:rsid w:val="00384F3A"/>
    <w:rsid w:val="00396639"/>
    <w:rsid w:val="00397102"/>
    <w:rsid w:val="00397F06"/>
    <w:rsid w:val="003A297C"/>
    <w:rsid w:val="003A50E4"/>
    <w:rsid w:val="003C4919"/>
    <w:rsid w:val="003D2182"/>
    <w:rsid w:val="003E082A"/>
    <w:rsid w:val="003F1CA6"/>
    <w:rsid w:val="003F4F33"/>
    <w:rsid w:val="003F7214"/>
    <w:rsid w:val="00407CDB"/>
    <w:rsid w:val="004105D3"/>
    <w:rsid w:val="004119E8"/>
    <w:rsid w:val="004220C3"/>
    <w:rsid w:val="00447890"/>
    <w:rsid w:val="00451C93"/>
    <w:rsid w:val="004530F4"/>
    <w:rsid w:val="00453726"/>
    <w:rsid w:val="00455D7B"/>
    <w:rsid w:val="00462EEF"/>
    <w:rsid w:val="00472D03"/>
    <w:rsid w:val="0048299B"/>
    <w:rsid w:val="004839C4"/>
    <w:rsid w:val="00490AAE"/>
    <w:rsid w:val="004A30D5"/>
    <w:rsid w:val="004B213D"/>
    <w:rsid w:val="004C4C64"/>
    <w:rsid w:val="004D5CF6"/>
    <w:rsid w:val="004D6E13"/>
    <w:rsid w:val="004E1140"/>
    <w:rsid w:val="004E5669"/>
    <w:rsid w:val="004F0C4E"/>
    <w:rsid w:val="004F1F30"/>
    <w:rsid w:val="005050EF"/>
    <w:rsid w:val="005055A7"/>
    <w:rsid w:val="00507FD6"/>
    <w:rsid w:val="00527A19"/>
    <w:rsid w:val="00530107"/>
    <w:rsid w:val="005302BF"/>
    <w:rsid w:val="005329B9"/>
    <w:rsid w:val="00543797"/>
    <w:rsid w:val="005517AD"/>
    <w:rsid w:val="00552C8A"/>
    <w:rsid w:val="00555D27"/>
    <w:rsid w:val="00555FF8"/>
    <w:rsid w:val="0056016C"/>
    <w:rsid w:val="00571A24"/>
    <w:rsid w:val="00575FED"/>
    <w:rsid w:val="005842DD"/>
    <w:rsid w:val="00592AFE"/>
    <w:rsid w:val="005A1A4D"/>
    <w:rsid w:val="005A1B5C"/>
    <w:rsid w:val="005A291D"/>
    <w:rsid w:val="005A5A7B"/>
    <w:rsid w:val="005A6091"/>
    <w:rsid w:val="005B676E"/>
    <w:rsid w:val="005B79B1"/>
    <w:rsid w:val="005C3A69"/>
    <w:rsid w:val="005C5F2B"/>
    <w:rsid w:val="005F3601"/>
    <w:rsid w:val="005F5875"/>
    <w:rsid w:val="005F7B67"/>
    <w:rsid w:val="00607300"/>
    <w:rsid w:val="006103FB"/>
    <w:rsid w:val="00621842"/>
    <w:rsid w:val="0062468A"/>
    <w:rsid w:val="00627477"/>
    <w:rsid w:val="0063335A"/>
    <w:rsid w:val="00640E7F"/>
    <w:rsid w:val="0064162C"/>
    <w:rsid w:val="00657F74"/>
    <w:rsid w:val="0066255D"/>
    <w:rsid w:val="0067182E"/>
    <w:rsid w:val="0067559D"/>
    <w:rsid w:val="006829C3"/>
    <w:rsid w:val="00691C91"/>
    <w:rsid w:val="006A0BB7"/>
    <w:rsid w:val="006A3522"/>
    <w:rsid w:val="006A3CB6"/>
    <w:rsid w:val="006B0D57"/>
    <w:rsid w:val="006B1D74"/>
    <w:rsid w:val="006B5DDB"/>
    <w:rsid w:val="006D5D60"/>
    <w:rsid w:val="006F5DE8"/>
    <w:rsid w:val="00702313"/>
    <w:rsid w:val="007269D7"/>
    <w:rsid w:val="0073199A"/>
    <w:rsid w:val="00734C92"/>
    <w:rsid w:val="00740560"/>
    <w:rsid w:val="007437CD"/>
    <w:rsid w:val="007504E9"/>
    <w:rsid w:val="007524A3"/>
    <w:rsid w:val="00756885"/>
    <w:rsid w:val="0077019D"/>
    <w:rsid w:val="0078012F"/>
    <w:rsid w:val="0078202C"/>
    <w:rsid w:val="007862BE"/>
    <w:rsid w:val="007A1F54"/>
    <w:rsid w:val="007B03EC"/>
    <w:rsid w:val="007B2D98"/>
    <w:rsid w:val="007D4B0B"/>
    <w:rsid w:val="007E5939"/>
    <w:rsid w:val="007E6B25"/>
    <w:rsid w:val="007F0912"/>
    <w:rsid w:val="007F56B1"/>
    <w:rsid w:val="00803613"/>
    <w:rsid w:val="008115F8"/>
    <w:rsid w:val="008137AE"/>
    <w:rsid w:val="00820B80"/>
    <w:rsid w:val="00832F9A"/>
    <w:rsid w:val="0083501B"/>
    <w:rsid w:val="00835901"/>
    <w:rsid w:val="008514D8"/>
    <w:rsid w:val="00851EA6"/>
    <w:rsid w:val="00853D6B"/>
    <w:rsid w:val="008645F5"/>
    <w:rsid w:val="008677D2"/>
    <w:rsid w:val="00870774"/>
    <w:rsid w:val="008737EA"/>
    <w:rsid w:val="00874F6C"/>
    <w:rsid w:val="008778E8"/>
    <w:rsid w:val="0088123F"/>
    <w:rsid w:val="008939D7"/>
    <w:rsid w:val="008A58A8"/>
    <w:rsid w:val="008B0DDD"/>
    <w:rsid w:val="008C1020"/>
    <w:rsid w:val="008E1735"/>
    <w:rsid w:val="008E616D"/>
    <w:rsid w:val="00900DD2"/>
    <w:rsid w:val="00901346"/>
    <w:rsid w:val="009050BE"/>
    <w:rsid w:val="009243B3"/>
    <w:rsid w:val="009262A5"/>
    <w:rsid w:val="00926EE0"/>
    <w:rsid w:val="00935C58"/>
    <w:rsid w:val="00940F4E"/>
    <w:rsid w:val="00943E86"/>
    <w:rsid w:val="00973E04"/>
    <w:rsid w:val="009743A0"/>
    <w:rsid w:val="00982ED1"/>
    <w:rsid w:val="00984D69"/>
    <w:rsid w:val="009921AF"/>
    <w:rsid w:val="009A5E64"/>
    <w:rsid w:val="009A7E1A"/>
    <w:rsid w:val="009B2B5B"/>
    <w:rsid w:val="009B76C7"/>
    <w:rsid w:val="009B782A"/>
    <w:rsid w:val="009B7C3C"/>
    <w:rsid w:val="009C3A66"/>
    <w:rsid w:val="009C4682"/>
    <w:rsid w:val="009D31C6"/>
    <w:rsid w:val="009E4AEB"/>
    <w:rsid w:val="009E5D12"/>
    <w:rsid w:val="009E729C"/>
    <w:rsid w:val="009F0ECB"/>
    <w:rsid w:val="009F2031"/>
    <w:rsid w:val="009F458F"/>
    <w:rsid w:val="009F486D"/>
    <w:rsid w:val="00A0383D"/>
    <w:rsid w:val="00A11583"/>
    <w:rsid w:val="00A13339"/>
    <w:rsid w:val="00A22643"/>
    <w:rsid w:val="00A22844"/>
    <w:rsid w:val="00A25C36"/>
    <w:rsid w:val="00A33ADF"/>
    <w:rsid w:val="00A369B6"/>
    <w:rsid w:val="00A40171"/>
    <w:rsid w:val="00A54DF0"/>
    <w:rsid w:val="00A56DD1"/>
    <w:rsid w:val="00A61837"/>
    <w:rsid w:val="00A6583D"/>
    <w:rsid w:val="00A80C68"/>
    <w:rsid w:val="00A974EB"/>
    <w:rsid w:val="00AA0152"/>
    <w:rsid w:val="00AA0D35"/>
    <w:rsid w:val="00AA39B2"/>
    <w:rsid w:val="00AA47AF"/>
    <w:rsid w:val="00AA6135"/>
    <w:rsid w:val="00AA6498"/>
    <w:rsid w:val="00AA6E70"/>
    <w:rsid w:val="00AB280D"/>
    <w:rsid w:val="00AB593C"/>
    <w:rsid w:val="00AC1501"/>
    <w:rsid w:val="00AC4608"/>
    <w:rsid w:val="00AF3CAF"/>
    <w:rsid w:val="00AF7283"/>
    <w:rsid w:val="00B0463E"/>
    <w:rsid w:val="00B05BE1"/>
    <w:rsid w:val="00B10E0C"/>
    <w:rsid w:val="00B158C2"/>
    <w:rsid w:val="00B209A7"/>
    <w:rsid w:val="00B23518"/>
    <w:rsid w:val="00B33106"/>
    <w:rsid w:val="00B37347"/>
    <w:rsid w:val="00B52538"/>
    <w:rsid w:val="00B56766"/>
    <w:rsid w:val="00B64FBB"/>
    <w:rsid w:val="00B66520"/>
    <w:rsid w:val="00B727EC"/>
    <w:rsid w:val="00B83278"/>
    <w:rsid w:val="00B83D4B"/>
    <w:rsid w:val="00B960A8"/>
    <w:rsid w:val="00BB1E00"/>
    <w:rsid w:val="00BC23AB"/>
    <w:rsid w:val="00BC25CD"/>
    <w:rsid w:val="00BD0D69"/>
    <w:rsid w:val="00BD3B43"/>
    <w:rsid w:val="00BE68D2"/>
    <w:rsid w:val="00BF5034"/>
    <w:rsid w:val="00C0036E"/>
    <w:rsid w:val="00C22409"/>
    <w:rsid w:val="00C27FF6"/>
    <w:rsid w:val="00C31DB3"/>
    <w:rsid w:val="00C532B5"/>
    <w:rsid w:val="00C56050"/>
    <w:rsid w:val="00C57298"/>
    <w:rsid w:val="00C57EA2"/>
    <w:rsid w:val="00C62B9A"/>
    <w:rsid w:val="00C7144C"/>
    <w:rsid w:val="00C720C4"/>
    <w:rsid w:val="00C82B7F"/>
    <w:rsid w:val="00C92722"/>
    <w:rsid w:val="00CB5418"/>
    <w:rsid w:val="00CD53B2"/>
    <w:rsid w:val="00CD5B05"/>
    <w:rsid w:val="00CD740C"/>
    <w:rsid w:val="00CF012D"/>
    <w:rsid w:val="00CF024B"/>
    <w:rsid w:val="00D110FF"/>
    <w:rsid w:val="00D12BC3"/>
    <w:rsid w:val="00D13543"/>
    <w:rsid w:val="00D26C11"/>
    <w:rsid w:val="00D31993"/>
    <w:rsid w:val="00D32B7F"/>
    <w:rsid w:val="00D37A8C"/>
    <w:rsid w:val="00D415FB"/>
    <w:rsid w:val="00D42414"/>
    <w:rsid w:val="00D42B29"/>
    <w:rsid w:val="00D4579F"/>
    <w:rsid w:val="00D46583"/>
    <w:rsid w:val="00D534CA"/>
    <w:rsid w:val="00D54C74"/>
    <w:rsid w:val="00D62AC5"/>
    <w:rsid w:val="00D66CD3"/>
    <w:rsid w:val="00D70C95"/>
    <w:rsid w:val="00D73242"/>
    <w:rsid w:val="00D77DE4"/>
    <w:rsid w:val="00D85D84"/>
    <w:rsid w:val="00D9600F"/>
    <w:rsid w:val="00D965D4"/>
    <w:rsid w:val="00DA1B9F"/>
    <w:rsid w:val="00DB4218"/>
    <w:rsid w:val="00DC2262"/>
    <w:rsid w:val="00DC5AE4"/>
    <w:rsid w:val="00DC5D66"/>
    <w:rsid w:val="00DC5FC1"/>
    <w:rsid w:val="00DC788D"/>
    <w:rsid w:val="00DD474E"/>
    <w:rsid w:val="00DD4DCD"/>
    <w:rsid w:val="00DE58A2"/>
    <w:rsid w:val="00DE681C"/>
    <w:rsid w:val="00DF66EF"/>
    <w:rsid w:val="00E04069"/>
    <w:rsid w:val="00E069C1"/>
    <w:rsid w:val="00E17088"/>
    <w:rsid w:val="00E40622"/>
    <w:rsid w:val="00E635B9"/>
    <w:rsid w:val="00E64B73"/>
    <w:rsid w:val="00E707BA"/>
    <w:rsid w:val="00E71387"/>
    <w:rsid w:val="00E80510"/>
    <w:rsid w:val="00E82F15"/>
    <w:rsid w:val="00E830FC"/>
    <w:rsid w:val="00E95E13"/>
    <w:rsid w:val="00E96A6E"/>
    <w:rsid w:val="00EB78B5"/>
    <w:rsid w:val="00EC1BDC"/>
    <w:rsid w:val="00ED2308"/>
    <w:rsid w:val="00ED3F11"/>
    <w:rsid w:val="00EE147B"/>
    <w:rsid w:val="00EF63FE"/>
    <w:rsid w:val="00EF7136"/>
    <w:rsid w:val="00F047B3"/>
    <w:rsid w:val="00F12EED"/>
    <w:rsid w:val="00F14991"/>
    <w:rsid w:val="00F16D5E"/>
    <w:rsid w:val="00F16FAA"/>
    <w:rsid w:val="00F25630"/>
    <w:rsid w:val="00F327AF"/>
    <w:rsid w:val="00F3291B"/>
    <w:rsid w:val="00F5035F"/>
    <w:rsid w:val="00F6396B"/>
    <w:rsid w:val="00F63F1F"/>
    <w:rsid w:val="00F701E0"/>
    <w:rsid w:val="00F77DE2"/>
    <w:rsid w:val="00F80F2E"/>
    <w:rsid w:val="00F918E9"/>
    <w:rsid w:val="00FA459F"/>
    <w:rsid w:val="00FB51C6"/>
    <w:rsid w:val="00FB7CF6"/>
    <w:rsid w:val="00FD16EC"/>
    <w:rsid w:val="00FD2884"/>
    <w:rsid w:val="00FE11B1"/>
    <w:rsid w:val="00FE506E"/>
    <w:rsid w:val="00FE6820"/>
    <w:rsid w:val="00FF2772"/>
    <w:rsid w:val="00FF6518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13958"/>
  <w15:chartTrackingRefBased/>
  <w15:docId w15:val="{336CACCC-CA81-4A15-B96A-341277B6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before="240"/>
      <w:jc w:val="both"/>
    </w:pPr>
    <w:rPr>
      <w:rFonts w:ascii="Garamond" w:hAnsi="Garamond"/>
      <w:sz w:val="24"/>
      <w:szCs w:val="24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after="960"/>
      <w:jc w:val="center"/>
      <w:outlineLvl w:val="0"/>
    </w:pPr>
    <w:rPr>
      <w:rFonts w:cs="Arial"/>
      <w:b/>
      <w:bCs/>
      <w:smallCap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EC1BDC"/>
    <w:pPr>
      <w:keepNext/>
      <w:numPr>
        <w:ilvl w:val="1"/>
        <w:numId w:val="1"/>
      </w:numPr>
      <w:spacing w:before="960" w:after="180"/>
      <w:jc w:val="left"/>
      <w:outlineLvl w:val="1"/>
    </w:pPr>
    <w:rPr>
      <w:rFonts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autoRedefine/>
    <w:qFormat/>
    <w:rsid w:val="005055A7"/>
    <w:pPr>
      <w:keepNext/>
      <w:numPr>
        <w:ilvl w:val="2"/>
        <w:numId w:val="1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autoRedefine/>
    <w:qFormat/>
    <w:rsid w:val="00E04069"/>
    <w:pPr>
      <w:keepNext/>
      <w:spacing w:before="360" w:after="60"/>
      <w:ind w:left="425"/>
      <w:outlineLvl w:val="3"/>
    </w:pPr>
    <w:rPr>
      <w:bCs/>
      <w:i/>
      <w:szCs w:val="28"/>
    </w:rPr>
  </w:style>
  <w:style w:type="paragraph" w:styleId="Cmsor5">
    <w:name w:val="heading 5"/>
    <w:basedOn w:val="Norml"/>
    <w:next w:val="Norml"/>
    <w:qFormat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pPr>
      <w:numPr>
        <w:ilvl w:val="5"/>
        <w:numId w:val="1"/>
      </w:numPr>
      <w:spacing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Cmsor7">
    <w:name w:val="heading 7"/>
    <w:basedOn w:val="Norml"/>
    <w:next w:val="Norml"/>
    <w:qFormat/>
    <w:pPr>
      <w:numPr>
        <w:ilvl w:val="6"/>
        <w:numId w:val="1"/>
      </w:numPr>
      <w:spacing w:after="60"/>
      <w:outlineLvl w:val="6"/>
    </w:pPr>
    <w:rPr>
      <w:rFonts w:ascii="Times New Roman" w:hAnsi="Times New Roman"/>
    </w:rPr>
  </w:style>
  <w:style w:type="paragraph" w:styleId="Cmsor8">
    <w:name w:val="heading 8"/>
    <w:basedOn w:val="Norml"/>
    <w:next w:val="Norml"/>
    <w:qFormat/>
    <w:pPr>
      <w:numPr>
        <w:ilvl w:val="7"/>
        <w:numId w:val="1"/>
      </w:numPr>
      <w:spacing w:after="60"/>
      <w:outlineLvl w:val="7"/>
    </w:pPr>
    <w:rPr>
      <w:rFonts w:ascii="Times New Roman" w:hAnsi="Times New Roman"/>
      <w:i/>
      <w:iCs/>
    </w:rPr>
  </w:style>
  <w:style w:type="paragraph" w:styleId="Cmsor9">
    <w:name w:val="heading 9"/>
    <w:basedOn w:val="Norml"/>
    <w:next w:val="Norml"/>
    <w:qFormat/>
    <w:pPr>
      <w:numPr>
        <w:ilvl w:val="8"/>
        <w:numId w:val="1"/>
      </w:numPr>
      <w:spacing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Norml"/>
    <w:autoRedefine/>
    <w:semiHidden/>
    <w:pPr>
      <w:spacing w:before="120"/>
      <w:jc w:val="left"/>
    </w:pPr>
    <w:rPr>
      <w:rFonts w:ascii="Times New Roman" w:hAnsi="Times New Roman"/>
      <w:b/>
      <w:bCs/>
      <w:i/>
      <w:iCs/>
    </w:rPr>
  </w:style>
  <w:style w:type="paragraph" w:styleId="TJ2">
    <w:name w:val="toc 2"/>
    <w:basedOn w:val="Norml"/>
    <w:next w:val="Norml"/>
    <w:autoRedefine/>
    <w:semiHidden/>
    <w:pPr>
      <w:spacing w:before="120"/>
      <w:ind w:left="240"/>
      <w:jc w:val="left"/>
    </w:pPr>
    <w:rPr>
      <w:rFonts w:ascii="Times New Roman" w:hAnsi="Times New Roman"/>
      <w:b/>
      <w:bCs/>
      <w:sz w:val="22"/>
      <w:szCs w:val="22"/>
    </w:rPr>
  </w:style>
  <w:style w:type="paragraph" w:styleId="TJ3">
    <w:name w:val="toc 3"/>
    <w:basedOn w:val="Norml"/>
    <w:next w:val="Norml"/>
    <w:autoRedefine/>
    <w:semiHidden/>
    <w:pPr>
      <w:spacing w:before="0"/>
      <w:ind w:left="480"/>
      <w:jc w:val="left"/>
    </w:pPr>
    <w:rPr>
      <w:rFonts w:ascii="Times New Roman" w:hAnsi="Times New Roman"/>
      <w:sz w:val="20"/>
      <w:szCs w:val="20"/>
    </w:rPr>
  </w:style>
  <w:style w:type="paragraph" w:styleId="TJ4">
    <w:name w:val="toc 4"/>
    <w:basedOn w:val="Norml"/>
    <w:next w:val="Norml"/>
    <w:autoRedefine/>
    <w:semiHidden/>
    <w:pPr>
      <w:spacing w:before="0"/>
      <w:ind w:left="720"/>
      <w:jc w:val="left"/>
    </w:pPr>
    <w:rPr>
      <w:rFonts w:ascii="Times New Roman" w:hAnsi="Times New Roman"/>
      <w:sz w:val="20"/>
      <w:szCs w:val="20"/>
    </w:rPr>
  </w:style>
  <w:style w:type="paragraph" w:styleId="TJ5">
    <w:name w:val="toc 5"/>
    <w:basedOn w:val="Norml"/>
    <w:next w:val="Norml"/>
    <w:autoRedefine/>
    <w:semiHidden/>
    <w:pPr>
      <w:spacing w:before="0"/>
      <w:ind w:left="960"/>
      <w:jc w:val="left"/>
    </w:pPr>
    <w:rPr>
      <w:rFonts w:ascii="Times New Roman" w:hAnsi="Times New Roman"/>
      <w:sz w:val="20"/>
      <w:szCs w:val="20"/>
    </w:rPr>
  </w:style>
  <w:style w:type="paragraph" w:styleId="TJ6">
    <w:name w:val="toc 6"/>
    <w:basedOn w:val="Norml"/>
    <w:next w:val="Norml"/>
    <w:autoRedefine/>
    <w:semiHidden/>
    <w:pPr>
      <w:spacing w:before="0"/>
      <w:ind w:left="1200"/>
      <w:jc w:val="left"/>
    </w:pPr>
    <w:rPr>
      <w:rFonts w:ascii="Times New Roman" w:hAnsi="Times New Roman"/>
      <w:sz w:val="20"/>
      <w:szCs w:val="20"/>
    </w:rPr>
  </w:style>
  <w:style w:type="paragraph" w:styleId="TJ7">
    <w:name w:val="toc 7"/>
    <w:basedOn w:val="Norml"/>
    <w:next w:val="Norml"/>
    <w:autoRedefine/>
    <w:semiHidden/>
    <w:pPr>
      <w:spacing w:before="0"/>
      <w:ind w:left="1440"/>
      <w:jc w:val="left"/>
    </w:pPr>
    <w:rPr>
      <w:rFonts w:ascii="Times New Roman" w:hAnsi="Times New Roman"/>
      <w:sz w:val="20"/>
      <w:szCs w:val="20"/>
    </w:rPr>
  </w:style>
  <w:style w:type="paragraph" w:styleId="TJ8">
    <w:name w:val="toc 8"/>
    <w:basedOn w:val="Norml"/>
    <w:next w:val="Norml"/>
    <w:autoRedefine/>
    <w:semiHidden/>
    <w:pPr>
      <w:spacing w:before="0"/>
      <w:ind w:left="1680"/>
      <w:jc w:val="left"/>
    </w:pPr>
    <w:rPr>
      <w:rFonts w:ascii="Times New Roman" w:hAnsi="Times New Roman"/>
      <w:sz w:val="20"/>
      <w:szCs w:val="20"/>
    </w:rPr>
  </w:style>
  <w:style w:type="paragraph" w:styleId="TJ9">
    <w:name w:val="toc 9"/>
    <w:basedOn w:val="Norml"/>
    <w:next w:val="Norml"/>
    <w:autoRedefine/>
    <w:semiHidden/>
    <w:pPr>
      <w:spacing w:before="0"/>
      <w:ind w:left="1920"/>
      <w:jc w:val="left"/>
    </w:pPr>
    <w:rPr>
      <w:rFonts w:ascii="Times New Roman" w:hAnsi="Times New Roman"/>
      <w:sz w:val="20"/>
      <w:szCs w:val="20"/>
    </w:rPr>
  </w:style>
  <w:style w:type="paragraph" w:styleId="Lbjegyzetszveg">
    <w:name w:val="footnote text"/>
    <w:basedOn w:val="Norml"/>
    <w:semiHidden/>
    <w:rPr>
      <w:sz w:val="20"/>
      <w:szCs w:val="20"/>
    </w:rPr>
  </w:style>
  <w:style w:type="character" w:styleId="Lbjegyzet-hivatkozs">
    <w:name w:val="footnote reference"/>
    <w:basedOn w:val="Bekezdsalapbettpusa"/>
    <w:semiHidden/>
    <w:rPr>
      <w:vertAlign w:val="superscript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Jegyzethivatkozs">
    <w:name w:val="annotation reference"/>
    <w:basedOn w:val="Bekezdsalapbettpusa"/>
    <w:semiHidden/>
    <w:rPr>
      <w:sz w:val="16"/>
      <w:szCs w:val="16"/>
    </w:rPr>
  </w:style>
  <w:style w:type="paragraph" w:styleId="Jegyzetszveg">
    <w:name w:val="annotation text"/>
    <w:basedOn w:val="Norml"/>
    <w:semiHidden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Pr>
      <w:b/>
      <w:bCs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C57EA2"/>
    <w:rPr>
      <w:color w:val="0000FF"/>
      <w:u w:val="single"/>
    </w:rPr>
  </w:style>
  <w:style w:type="character" w:customStyle="1" w:styleId="StlusLbjegyzet-hivatkozsthzott">
    <w:name w:val="Stílus Lábjegyzet-hivatkozás + Áthúzott"/>
    <w:basedOn w:val="Lbjegyzet-hivatkozs"/>
    <w:rsid w:val="00112EF4"/>
    <w:rPr>
      <w:dstrike w:val="0"/>
      <w:vertAlign w:val="superscript"/>
    </w:rPr>
  </w:style>
  <w:style w:type="table" w:styleId="Rcsostblzat">
    <w:name w:val="Table Grid"/>
    <w:basedOn w:val="Normltblzat"/>
    <w:rsid w:val="00D73242"/>
    <w:pPr>
      <w:spacing w:before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basedOn w:val="Bekezdsalapbettpusa"/>
    <w:link w:val="llb"/>
    <w:uiPriority w:val="99"/>
    <w:rsid w:val="00243EBD"/>
    <w:rPr>
      <w:rFonts w:ascii="Garamond" w:hAnsi="Garamond"/>
      <w:sz w:val="24"/>
      <w:szCs w:val="24"/>
    </w:rPr>
  </w:style>
  <w:style w:type="paragraph" w:styleId="Listaszerbekezds">
    <w:name w:val="List Paragraph"/>
    <w:basedOn w:val="Norml"/>
    <w:uiPriority w:val="34"/>
    <w:qFormat/>
    <w:rsid w:val="0067559D"/>
    <w:pPr>
      <w:ind w:left="720"/>
      <w:contextualSpacing/>
    </w:pPr>
  </w:style>
  <w:style w:type="character" w:customStyle="1" w:styleId="Cmsor4Char">
    <w:name w:val="Címsor 4 Char"/>
    <w:basedOn w:val="Bekezdsalapbettpusa"/>
    <w:link w:val="Cmsor4"/>
    <w:rsid w:val="00E04069"/>
    <w:rPr>
      <w:rFonts w:ascii="Garamond" w:hAnsi="Garamond"/>
      <w:bCs/>
      <w:i/>
      <w:sz w:val="24"/>
      <w:szCs w:val="28"/>
    </w:rPr>
  </w:style>
  <w:style w:type="numbering" w:customStyle="1" w:styleId="Stlus1">
    <w:name w:val="Stílus1"/>
    <w:rsid w:val="00D534CA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C3C24085358BA479938FB24A430E4B2" ma:contentTypeVersion="0" ma:contentTypeDescription="Új dokumentum létrehozása." ma:contentTypeScope="" ma:versionID="a892a8a3de5cda2c7a778cbb940990e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fa0cbbd6a1c43f52e5022bd849f9b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8C31CA-3767-49EA-8A25-0EF0042C322D}"/>
</file>

<file path=customXml/itemProps2.xml><?xml version="1.0" encoding="utf-8"?>
<ds:datastoreItem xmlns:ds="http://schemas.openxmlformats.org/officeDocument/2006/customXml" ds:itemID="{0963AC3C-5D01-4B67-82DD-B6865A0DD827}"/>
</file>

<file path=customXml/itemProps3.xml><?xml version="1.0" encoding="utf-8"?>
<ds:datastoreItem xmlns:ds="http://schemas.openxmlformats.org/officeDocument/2006/customXml" ds:itemID="{58CE7933-B330-401D-A0CB-96C871FE3F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10</Pages>
  <Words>2661</Words>
  <Characters>20038</Characters>
  <Application>Microsoft Office Word</Application>
  <DocSecurity>0</DocSecurity>
  <Lines>166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TERVEK ÉS MEGVALÓSÍTÁSI ELKÉPZELÉSEK</vt:lpstr>
    </vt:vector>
  </TitlesOfParts>
  <Company>pte- ktk</Company>
  <LinksUpToDate>false</LinksUpToDate>
  <CharactersWithSpaces>22654</CharactersWithSpaces>
  <SharedDoc>false</SharedDoc>
  <HLinks>
    <vt:vector size="102" baseType="variant">
      <vt:variant>
        <vt:i4>1048626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_Toc124509793</vt:lpwstr>
      </vt:variant>
      <vt:variant>
        <vt:i4>1048626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_Toc124509792</vt:lpwstr>
      </vt:variant>
      <vt:variant>
        <vt:i4>1048626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_Toc124509791</vt:lpwstr>
      </vt:variant>
      <vt:variant>
        <vt:i4>1048626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_Toc124509790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_Toc124509789</vt:lpwstr>
      </vt:variant>
      <vt:variant>
        <vt:i4>1114162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_Toc124509788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_Toc124509787</vt:lpwstr>
      </vt:variant>
      <vt:variant>
        <vt:i4>1114162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_Toc124509786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_Toc124509785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_Toc124509784</vt:lpwstr>
      </vt:variant>
      <vt:variant>
        <vt:i4>1114162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_Toc124509783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_Toc124509782</vt:lpwstr>
      </vt:variant>
      <vt:variant>
        <vt:i4>1114162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_Toc124509781</vt:lpwstr>
      </vt:variant>
      <vt:variant>
        <vt:i4>1114162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_Toc124509780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_Toc124509779</vt:lpwstr>
      </vt:variant>
      <vt:variant>
        <vt:i4>1966130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_Toc124509778</vt:lpwstr>
      </vt:variant>
      <vt:variant>
        <vt:i4>1966130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_Toc124509777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TERVEK ÉS MEGVALÓSÍTÁSI ELKÉPZELÉSEK</dc:title>
  <dc:subject/>
  <dc:creator>tele</dc:creator>
  <cp:keywords/>
  <dc:description/>
  <cp:lastModifiedBy>Dr. Rappai Gábor</cp:lastModifiedBy>
  <cp:revision>167</cp:revision>
  <cp:lastPrinted>2006-01-17T08:57:00Z</cp:lastPrinted>
  <dcterms:created xsi:type="dcterms:W3CDTF">2025-07-17T08:01:00Z</dcterms:created>
  <dcterms:modified xsi:type="dcterms:W3CDTF">2025-07-18T08:12:00Z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1552455817</vt:i4>
  </property>
  <property fmtid="{D5CDD505-2E9C-101B-9397-08002B2CF9AE}" pid="3" name="_EmailSubject">
    <vt:lpwstr>Kari stratégia</vt:lpwstr>
  </property>
  <property fmtid="{D5CDD505-2E9C-101B-9397-08002B2CF9AE}" pid="4" name="_AuthorEmail">
    <vt:lpwstr>Bara@ktk.pte.hu</vt:lpwstr>
  </property>
  <property fmtid="{D5CDD505-2E9C-101B-9397-08002B2CF9AE}" pid="5" name="_AuthorEmailDisplayName">
    <vt:lpwstr>Barakonyi Károly</vt:lpwstr>
  </property>
  <property fmtid="{D5CDD505-2E9C-101B-9397-08002B2CF9AE}" pid="6" name="_ReviewingToolsShownOnce">
    <vt:lpwstr/>
  </property>
  <property fmtid="{D5CDD505-2E9C-101B-9397-08002B2CF9AE}" pid="7" name="ContentTypeId">
    <vt:lpwstr>0x0101007C3C24085358BA479938FB24A430E4B2</vt:lpwstr>
  </property>
</Properties>
</file>